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A4D" w:rsidRPr="009E2146" w:rsidRDefault="00B25A4D" w:rsidP="00FC43CE">
      <w:pPr>
        <w:spacing w:beforeLines="20" w:before="48" w:afterLines="20" w:after="48"/>
        <w:rPr>
          <w:b/>
        </w:rPr>
      </w:pPr>
      <w:r w:rsidRPr="009E2146">
        <w:rPr>
          <w:b/>
        </w:rPr>
        <w:t>УДК 6</w:t>
      </w:r>
      <w:r w:rsidR="00990C9E" w:rsidRPr="009E2146">
        <w:rPr>
          <w:b/>
        </w:rPr>
        <w:t>2-218.2</w:t>
      </w:r>
    </w:p>
    <w:p w:rsidR="00B25A4D" w:rsidRPr="009E2146" w:rsidRDefault="00B25A4D" w:rsidP="00FC43CE">
      <w:pPr>
        <w:spacing w:beforeLines="20" w:before="48" w:afterLines="20" w:after="48"/>
      </w:pPr>
    </w:p>
    <w:p w:rsidR="00B25A4D" w:rsidRPr="009E2146" w:rsidRDefault="00B25A4D" w:rsidP="00FC43CE">
      <w:pPr>
        <w:spacing w:beforeLines="20" w:before="48" w:afterLines="20" w:after="48"/>
        <w:jc w:val="both"/>
        <w:rPr>
          <w:b/>
          <w:bCs/>
        </w:rPr>
      </w:pPr>
      <w:r w:rsidRPr="009E2146">
        <w:rPr>
          <w:b/>
          <w:bCs/>
        </w:rPr>
        <w:t>ОПТИМИЗАЦИЯ ОБЪЕМА ФУНДАМЕНТА МЕТАЛЛОРЕЖУЩЕГО СТАНКА БЕЗ ПОТЕРИ ДЕМПФИРУЮЩИХ СВОЙСТВ С ИСПОЛЬЗОВАНИЕМ МЕТОДА КОНЕЧНЫХ ЭЛЕМЕНТОВ.</w:t>
      </w:r>
    </w:p>
    <w:p w:rsidR="00B25A4D" w:rsidRPr="009E2146" w:rsidRDefault="00B25A4D" w:rsidP="00FC43CE">
      <w:pPr>
        <w:spacing w:beforeLines="20" w:before="48" w:afterLines="20" w:after="48"/>
        <w:jc w:val="both"/>
      </w:pPr>
    </w:p>
    <w:p w:rsidR="00B25A4D" w:rsidRPr="009E2146" w:rsidRDefault="00B25A4D" w:rsidP="00FC43CE">
      <w:pPr>
        <w:spacing w:beforeLines="20" w:before="48" w:afterLines="20" w:after="48"/>
        <w:rPr>
          <w:vertAlign w:val="superscript"/>
        </w:rPr>
      </w:pPr>
      <w:r w:rsidRPr="009E2146">
        <w:t>Дмитрий Александрович Пучков</w:t>
      </w:r>
      <w:r w:rsidRPr="009E2146">
        <w:rPr>
          <w:vertAlign w:val="superscript"/>
        </w:rPr>
        <w:t xml:space="preserve"> (1)</w:t>
      </w:r>
    </w:p>
    <w:p w:rsidR="00B25A4D" w:rsidRPr="009E2146" w:rsidRDefault="00B25A4D" w:rsidP="00FC43CE">
      <w:pPr>
        <w:spacing w:beforeLines="20" w:before="48" w:afterLines="20" w:after="48"/>
      </w:pPr>
    </w:p>
    <w:p w:rsidR="00B25A4D" w:rsidRPr="009E2146" w:rsidRDefault="00B25A4D" w:rsidP="00FC43CE">
      <w:pPr>
        <w:spacing w:beforeLines="20" w:before="48" w:afterLines="20" w:after="48"/>
        <w:rPr>
          <w:i/>
        </w:rPr>
      </w:pPr>
      <w:r w:rsidRPr="009E2146">
        <w:rPr>
          <w:i/>
        </w:rPr>
        <w:t xml:space="preserve">Студент 4 курса </w:t>
      </w:r>
      <w:r w:rsidRPr="009E2146">
        <w:rPr>
          <w:i/>
          <w:vertAlign w:val="superscript"/>
        </w:rPr>
        <w:t>(1)</w:t>
      </w:r>
      <w:r w:rsidRPr="009E2146">
        <w:rPr>
          <w:i/>
        </w:rPr>
        <w:t>, специалитет</w:t>
      </w:r>
      <w:r w:rsidRPr="009E2146">
        <w:rPr>
          <w:i/>
          <w:vertAlign w:val="superscript"/>
        </w:rPr>
        <w:t xml:space="preserve"> (2)</w:t>
      </w:r>
      <w:r w:rsidRPr="009E2146">
        <w:rPr>
          <w:i/>
        </w:rPr>
        <w:t xml:space="preserve">, </w:t>
      </w:r>
    </w:p>
    <w:p w:rsidR="00B25A4D" w:rsidRPr="009E2146" w:rsidRDefault="00B25A4D" w:rsidP="00FC43CE">
      <w:pPr>
        <w:spacing w:beforeLines="20" w:before="48" w:afterLines="20" w:after="48"/>
        <w:rPr>
          <w:i/>
        </w:rPr>
      </w:pPr>
      <w:r w:rsidRPr="009E2146">
        <w:rPr>
          <w:i/>
        </w:rPr>
        <w:t>кафедра «Металлорежущие станки и оборудование»</w:t>
      </w:r>
    </w:p>
    <w:p w:rsidR="00B25A4D" w:rsidRPr="009E2146" w:rsidRDefault="00B25A4D" w:rsidP="00FC43CE">
      <w:pPr>
        <w:tabs>
          <w:tab w:val="left" w:pos="5040"/>
        </w:tabs>
        <w:spacing w:beforeLines="20" w:before="48" w:afterLines="20" w:after="48"/>
        <w:rPr>
          <w:i/>
        </w:rPr>
      </w:pPr>
      <w:r w:rsidRPr="009E2146">
        <w:rPr>
          <w:i/>
        </w:rPr>
        <w:t>Московский Государственный Технический Университет им. Н. Э. Баумана</w:t>
      </w:r>
    </w:p>
    <w:p w:rsidR="00B25A4D" w:rsidRPr="009E2146" w:rsidRDefault="00B25A4D" w:rsidP="00FC43CE">
      <w:pPr>
        <w:tabs>
          <w:tab w:val="left" w:pos="5040"/>
        </w:tabs>
        <w:spacing w:beforeLines="20" w:before="48" w:afterLines="20" w:after="48"/>
        <w:rPr>
          <w:i/>
        </w:rPr>
      </w:pPr>
    </w:p>
    <w:p w:rsidR="00B25A4D" w:rsidRPr="009E2146" w:rsidRDefault="00B25A4D" w:rsidP="00FC43CE">
      <w:pPr>
        <w:spacing w:beforeLines="20" w:before="48" w:afterLines="20" w:after="48"/>
        <w:rPr>
          <w:i/>
        </w:rPr>
      </w:pPr>
      <w:r w:rsidRPr="009E2146">
        <w:rPr>
          <w:i/>
        </w:rPr>
        <w:t xml:space="preserve">Научный руководитель: А.Г. </w:t>
      </w:r>
      <w:proofErr w:type="spellStart"/>
      <w:r w:rsidRPr="009E2146">
        <w:rPr>
          <w:i/>
        </w:rPr>
        <w:t>Ягопольский</w:t>
      </w:r>
      <w:proofErr w:type="spellEnd"/>
      <w:r w:rsidRPr="009E2146">
        <w:rPr>
          <w:i/>
        </w:rPr>
        <w:t xml:space="preserve">, </w:t>
      </w:r>
      <w:r w:rsidRPr="009E2146">
        <w:rPr>
          <w:i/>
        </w:rPr>
        <w:br/>
        <w:t>старший преподаватель кафедры «Металлорежущие станки и оборудование»</w:t>
      </w:r>
    </w:p>
    <w:p w:rsidR="00B25A4D" w:rsidRPr="009E2146" w:rsidRDefault="00B25A4D" w:rsidP="00FC43CE">
      <w:pPr>
        <w:spacing w:beforeLines="20" w:before="48" w:afterLines="20" w:after="48"/>
        <w:rPr>
          <w:b/>
        </w:rPr>
      </w:pPr>
    </w:p>
    <w:p w:rsidR="009E2146" w:rsidRPr="009E2146" w:rsidRDefault="009E2146" w:rsidP="00FC43CE">
      <w:pPr>
        <w:spacing w:beforeLines="20" w:before="48" w:afterLines="20" w:after="48"/>
        <w:jc w:val="both"/>
        <w:rPr>
          <w:color w:val="000000" w:themeColor="text1"/>
        </w:rPr>
      </w:pPr>
      <w:r w:rsidRPr="009E2146">
        <w:rPr>
          <w:color w:val="000000" w:themeColor="text1"/>
        </w:rPr>
        <w:tab/>
        <w:t xml:space="preserve">Современный этап развития станкостроения характеризуется резким повышением требований к динамической жесткости и виброустойчивости технологического оборудования. В условиях перехода к высокоскоростной обработке (ВСО) и жестким допускам на нанометровом уровне, роль опорных конструкций претерпевает изменения. Таким образом, возникает инженерная дилемма: как снизить материалоемкость фундамента, не потеряв при этом его </w:t>
      </w:r>
      <w:proofErr w:type="spellStart"/>
      <w:r w:rsidRPr="009E2146">
        <w:rPr>
          <w:color w:val="000000" w:themeColor="text1"/>
        </w:rPr>
        <w:t>жесткостные</w:t>
      </w:r>
      <w:proofErr w:type="spellEnd"/>
      <w:r w:rsidRPr="009E2146">
        <w:rPr>
          <w:color w:val="000000" w:themeColor="text1"/>
        </w:rPr>
        <w:t xml:space="preserve"> характеристики и не превысив несущую способность грунта.</w:t>
      </w:r>
    </w:p>
    <w:p w:rsidR="009E2146" w:rsidRPr="009E2146" w:rsidRDefault="009E2146" w:rsidP="00FC43CE">
      <w:pPr>
        <w:spacing w:beforeLines="20" w:before="48" w:afterLines="20" w:after="48"/>
        <w:jc w:val="both"/>
        <w:rPr>
          <w:color w:val="000000" w:themeColor="text1"/>
        </w:rPr>
      </w:pPr>
      <w:r w:rsidRPr="009E2146">
        <w:rPr>
          <w:color w:val="000000" w:themeColor="text1"/>
        </w:rPr>
        <w:tab/>
        <w:t>В рамках данной работы ставится задача исследовать возможности снижения объема бетонного массива путем создания рациональных внутренних структур. Для реализации предложенного метода был разработан специализированный программный алгоритм на языке Python, позволяющий оценивать влияние геометрической оптимизации на частотный спектр системы и контактные давления в зоне сопряжения с грунтом.</w:t>
      </w:r>
    </w:p>
    <w:p w:rsidR="009E2146" w:rsidRPr="009E2146" w:rsidRDefault="009E2146" w:rsidP="00FC43CE">
      <w:pPr>
        <w:spacing w:beforeLines="20" w:before="48" w:afterLines="20" w:after="48"/>
        <w:jc w:val="both"/>
        <w:rPr>
          <w:rFonts w:eastAsiaTheme="minorEastAsia"/>
          <w:color w:val="000000" w:themeColor="text1"/>
        </w:rPr>
      </w:pPr>
      <w:r w:rsidRPr="009E2146">
        <w:rPr>
          <w:color w:val="000000" w:themeColor="text1"/>
        </w:rPr>
        <w:tab/>
        <w:t xml:space="preserve">В основе программы лежат упрощенные аналитические зависимости механики деформируемого твердого тела и теории колебаний. </w:t>
      </w:r>
      <w:r w:rsidRPr="009E2146">
        <w:rPr>
          <w:rFonts w:eastAsiaTheme="minorEastAsia"/>
          <w:iCs/>
          <w:color w:val="000000" w:themeColor="text1"/>
        </w:rPr>
        <w:t>В свою очередь, собственная частота (</w:t>
      </w:r>
      <m:oMath>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lang w:val="en-US"/>
              </w:rPr>
              <m:t>f</m:t>
            </m:r>
          </m:e>
          <m:sub>
            <m:r>
              <w:rPr>
                <w:rFonts w:ascii="Cambria Math" w:eastAsiaTheme="minorEastAsia" w:hAnsi="Cambria Math"/>
                <w:color w:val="000000" w:themeColor="text1"/>
              </w:rPr>
              <m:t>n</m:t>
            </m:r>
          </m:sub>
        </m:sSub>
      </m:oMath>
      <w:r w:rsidRPr="009E2146">
        <w:rPr>
          <w:rFonts w:eastAsiaTheme="minorEastAsia"/>
          <w:iCs/>
          <w:color w:val="000000" w:themeColor="text1"/>
        </w:rPr>
        <w:t>) колебаний – параметр, определяющий резонансную устойчивость. В данной работе фундамент рассматривается как система с одной степенью свободы:</w:t>
      </w:r>
    </w:p>
    <w:p w:rsidR="0082374A" w:rsidRPr="0082374A" w:rsidRDefault="009E2146" w:rsidP="00FC43CE">
      <w:pPr>
        <w:spacing w:beforeLines="20" w:before="48" w:afterLines="20" w:after="48"/>
        <w:jc w:val="both"/>
        <w:rPr>
          <w:rFonts w:eastAsiaTheme="minorEastAsia"/>
          <w:color w:val="000000" w:themeColor="text1"/>
        </w:rPr>
      </w:pPr>
      <m:oMathPara>
        <m:oMath>
          <m:eqArr>
            <m:eqArrPr>
              <m:maxDist m:val="1"/>
              <m:ctrlPr>
                <w:rPr>
                  <w:rFonts w:ascii="Cambria Math" w:hAnsi="Cambria Math"/>
                  <w:i/>
                  <w:color w:val="000000" w:themeColor="text1"/>
                  <w:lang w:val="en-US"/>
                </w:rPr>
              </m:ctrlPr>
            </m:eqArrPr>
            <m:e>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n</m:t>
                  </m:r>
                </m:sub>
              </m:sSub>
              <m:r>
                <w:rPr>
                  <w:rFonts w:ascii="Cambria Math" w:hAnsi="Cambria Math"/>
                  <w:color w:val="000000" w:themeColor="text1"/>
                </w:rPr>
                <m:t xml:space="preserve">= </m:t>
              </m:r>
              <m:f>
                <m:fPr>
                  <m:ctrlPr>
                    <w:rPr>
                      <w:rFonts w:ascii="Cambria Math" w:hAnsi="Cambria Math"/>
                      <w:i/>
                      <w:color w:val="000000" w:themeColor="text1"/>
                      <w:lang w:val="en-US"/>
                    </w:rPr>
                  </m:ctrlPr>
                </m:fPr>
                <m:num>
                  <m:r>
                    <w:rPr>
                      <w:rFonts w:ascii="Cambria Math" w:hAnsi="Cambria Math"/>
                      <w:color w:val="000000" w:themeColor="text1"/>
                    </w:rPr>
                    <m:t>1</m:t>
                  </m:r>
                </m:num>
                <m:den>
                  <m:r>
                    <w:rPr>
                      <w:rFonts w:ascii="Cambria Math" w:hAnsi="Cambria Math"/>
                      <w:color w:val="000000" w:themeColor="text1"/>
                    </w:rPr>
                    <m:t>2</m:t>
                  </m:r>
                  <m:r>
                    <w:rPr>
                      <w:rFonts w:ascii="Cambria Math" w:hAnsi="Cambria Math"/>
                      <w:color w:val="000000" w:themeColor="text1"/>
                      <w:lang w:val="en-US"/>
                    </w:rPr>
                    <m:t>π</m:t>
                  </m:r>
                </m:den>
              </m:f>
              <m:r>
                <w:rPr>
                  <w:rFonts w:ascii="Cambria Math" w:hAnsi="Cambria Math"/>
                  <w:color w:val="000000" w:themeColor="text1"/>
                </w:rPr>
                <m:t>∙</m:t>
              </m:r>
              <m:rad>
                <m:radPr>
                  <m:degHide m:val="1"/>
                  <m:ctrlPr>
                    <w:rPr>
                      <w:rFonts w:ascii="Cambria Math" w:hAnsi="Cambria Math"/>
                      <w:i/>
                      <w:color w:val="000000" w:themeColor="text1"/>
                      <w:lang w:val="en-US"/>
                    </w:rPr>
                  </m:ctrlPr>
                </m:radPr>
                <m:deg/>
                <m:e>
                  <m:f>
                    <m:fPr>
                      <m:ctrlPr>
                        <w:rPr>
                          <w:rFonts w:ascii="Cambria Math" w:hAnsi="Cambria Math"/>
                          <w:i/>
                          <w:color w:val="000000" w:themeColor="text1"/>
                          <w:lang w:val="en-US"/>
                        </w:rPr>
                      </m:ctrlPr>
                    </m:fPr>
                    <m:num>
                      <m:r>
                        <w:rPr>
                          <w:rFonts w:ascii="Cambria Math" w:hAnsi="Cambria Math"/>
                          <w:color w:val="000000" w:themeColor="text1"/>
                          <w:lang w:val="en-US"/>
                        </w:rPr>
                        <m:t>k</m:t>
                      </m:r>
                    </m:num>
                    <m:den>
                      <m:r>
                        <w:rPr>
                          <w:rFonts w:ascii="Cambria Math" w:hAnsi="Cambria Math"/>
                          <w:color w:val="000000" w:themeColor="text1"/>
                          <w:lang w:val="en-US"/>
                        </w:rPr>
                        <m:t>m</m:t>
                      </m:r>
                    </m:den>
                  </m:f>
                </m:e>
              </m:rad>
              <m:r>
                <w:rPr>
                  <w:rFonts w:ascii="Cambria Math" w:hAnsi="Cambria Math"/>
                  <w:color w:val="000000" w:themeColor="text1"/>
                </w:rPr>
                <m:t>,</m:t>
              </m:r>
              <m:r>
                <w:rPr>
                  <w:rFonts w:ascii="Cambria Math" w:hAnsi="Cambria Math"/>
                  <w:color w:val="000000" w:themeColor="text1"/>
                </w:rPr>
                <m:t>#</m:t>
              </m:r>
              <m:d>
                <m:dPr>
                  <m:ctrlPr>
                    <w:rPr>
                      <w:rFonts w:ascii="Cambria Math" w:hAnsi="Cambria Math"/>
                      <w:i/>
                      <w:color w:val="000000" w:themeColor="text1"/>
                      <w:lang w:val="en-US"/>
                    </w:rPr>
                  </m:ctrlPr>
                </m:dPr>
                <m:e>
                  <m:r>
                    <w:rPr>
                      <w:rFonts w:ascii="Cambria Math" w:hAnsi="Cambria Math"/>
                      <w:color w:val="000000" w:themeColor="text1"/>
                    </w:rPr>
                    <m:t>1</m:t>
                  </m:r>
                </m:e>
              </m:d>
              <m:ctrlPr>
                <w:rPr>
                  <w:rFonts w:ascii="Cambria Math" w:hAnsi="Cambria Math"/>
                  <w:i/>
                  <w:color w:val="000000" w:themeColor="text1"/>
                </w:rPr>
              </m:ctrlPr>
            </m:e>
          </m:eqArr>
        </m:oMath>
      </m:oMathPara>
    </w:p>
    <w:p w:rsidR="00FC43CE" w:rsidRPr="00FC43CE" w:rsidRDefault="00FC43CE" w:rsidP="00FC43CE">
      <w:pPr>
        <w:spacing w:beforeLines="20" w:before="48" w:afterLines="20" w:after="48"/>
        <w:jc w:val="both"/>
        <w:rPr>
          <w:color w:val="000000" w:themeColor="text1"/>
        </w:rPr>
      </w:pPr>
      <w:r>
        <w:rPr>
          <w:color w:val="000000" w:themeColor="text1"/>
        </w:rPr>
        <w:t xml:space="preserve">где </w:t>
      </w:r>
      <w:r w:rsidRPr="00FC43CE">
        <w:rPr>
          <w:i/>
          <w:iCs/>
          <w:color w:val="000000" w:themeColor="text1"/>
          <w:lang w:val="en-US"/>
        </w:rPr>
        <w:t>k</w:t>
      </w:r>
      <w:r w:rsidRPr="00FC43CE">
        <w:rPr>
          <w:color w:val="000000" w:themeColor="text1"/>
        </w:rPr>
        <w:t xml:space="preserve"> – </w:t>
      </w:r>
      <w:r>
        <w:rPr>
          <w:color w:val="000000" w:themeColor="text1"/>
        </w:rPr>
        <w:t>жесткость системы</w:t>
      </w:r>
      <w:r w:rsidRPr="00FC43CE">
        <w:rPr>
          <w:color w:val="000000" w:themeColor="text1"/>
        </w:rPr>
        <w:t xml:space="preserve">; </w:t>
      </w:r>
      <w:r w:rsidRPr="00FC43CE">
        <w:rPr>
          <w:i/>
          <w:iCs/>
          <w:color w:val="000000" w:themeColor="text1"/>
          <w:lang w:val="en-US"/>
        </w:rPr>
        <w:t>m</w:t>
      </w:r>
      <w:r w:rsidRPr="00FC43CE">
        <w:rPr>
          <w:i/>
          <w:iCs/>
          <w:color w:val="000000" w:themeColor="text1"/>
        </w:rPr>
        <w:t xml:space="preserve"> </w:t>
      </w:r>
      <w:r w:rsidRPr="00FC43CE">
        <w:rPr>
          <w:color w:val="000000" w:themeColor="text1"/>
        </w:rPr>
        <w:t xml:space="preserve">– </w:t>
      </w:r>
      <w:r>
        <w:rPr>
          <w:color w:val="000000" w:themeColor="text1"/>
        </w:rPr>
        <w:t>масса системы</w:t>
      </w:r>
      <w:r w:rsidRPr="00FC43CE">
        <w:rPr>
          <w:color w:val="000000" w:themeColor="text1"/>
        </w:rPr>
        <w:t>.</w:t>
      </w:r>
      <w:r>
        <w:rPr>
          <w:color w:val="000000" w:themeColor="text1"/>
        </w:rPr>
        <w:t xml:space="preserve"> </w:t>
      </w:r>
      <w:r w:rsidRPr="00FC43CE">
        <w:rPr>
          <w:color w:val="000000" w:themeColor="text1"/>
        </w:rPr>
        <w:tab/>
      </w:r>
    </w:p>
    <w:p w:rsidR="009E2146" w:rsidRPr="0082374A" w:rsidRDefault="00FC43CE" w:rsidP="00FC43CE">
      <w:pPr>
        <w:spacing w:beforeLines="20" w:before="48" w:afterLines="20" w:after="48"/>
        <w:jc w:val="both"/>
        <w:rPr>
          <w:color w:val="000000" w:themeColor="text1"/>
        </w:rPr>
      </w:pPr>
      <w:r w:rsidRPr="00FC43CE">
        <w:rPr>
          <w:color w:val="000000" w:themeColor="text1"/>
        </w:rPr>
        <w:tab/>
      </w:r>
      <w:r w:rsidR="009E2146" w:rsidRPr="009E2146">
        <w:rPr>
          <w:color w:val="000000" w:themeColor="text1"/>
        </w:rPr>
        <w:t>Результат измеряется в Герцах (Гц). В идеальном проектировании должна быть как минимум на 30-40% выше или ниже основной рабочей частоты станка.</w:t>
      </w:r>
    </w:p>
    <w:p w:rsidR="00643BD8" w:rsidRDefault="009E2146" w:rsidP="00FC43CE">
      <w:pPr>
        <w:spacing w:beforeLines="20" w:before="48" w:afterLines="20" w:after="48"/>
        <w:jc w:val="both"/>
        <w:rPr>
          <w:color w:val="000000" w:themeColor="text1"/>
          <w:lang w:val="en-US"/>
        </w:rPr>
      </w:pPr>
      <w:r w:rsidRPr="009E2146">
        <w:rPr>
          <w:color w:val="000000" w:themeColor="text1"/>
        </w:rPr>
        <w:tab/>
        <w:t>Теперь стоит рассмотреть принцип расчета методом конечных элементов (МКЭ). Модель разбивается на элементы и узлы, в результате чего для каждого узла составляется уравнение равновесия</w:t>
      </w:r>
      <w:r w:rsidR="00643BD8" w:rsidRPr="00643BD8">
        <w:rPr>
          <w:color w:val="000000" w:themeColor="text1"/>
        </w:rPr>
        <w:t>:</w:t>
      </w:r>
    </w:p>
    <w:p w:rsidR="009E2146" w:rsidRPr="00643BD8" w:rsidRDefault="009E2146" w:rsidP="00FC43CE">
      <w:pPr>
        <w:spacing w:beforeLines="20" w:before="48" w:afterLines="20" w:after="48"/>
        <w:jc w:val="both"/>
        <w:rPr>
          <w:color w:val="000000" w:themeColor="text1"/>
        </w:rPr>
      </w:pPr>
      <m:oMath>
        <m:eqArr>
          <m:eqArrPr>
            <m:maxDist m:val="1"/>
            <m:ctrlPr>
              <w:rPr>
                <w:rFonts w:ascii="Cambria Math" w:hAnsi="Cambria Math"/>
                <w:i/>
                <w:color w:val="000000" w:themeColor="text1"/>
                <w:lang w:val="en-US"/>
              </w:rPr>
            </m:ctrlPr>
          </m:eqArrPr>
          <m:e>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e</m:t>
                    </m:r>
                  </m:sub>
                </m:sSub>
              </m:e>
            </m:d>
            <m:r>
              <w:rPr>
                <w:rFonts w:ascii="Cambria Math" w:hAnsi="Cambria Math"/>
                <w:color w:val="000000" w:themeColor="text1"/>
              </w:rPr>
              <m:t>=</m:t>
            </m:r>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e</m:t>
                    </m:r>
                  </m:sub>
                </m:sSub>
              </m:e>
            </m:d>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e</m:t>
                    </m:r>
                  </m:sub>
                </m:sSub>
              </m:e>
            </m:d>
            <m:r>
              <w:rPr>
                <w:rFonts w:ascii="Cambria Math" w:hAnsi="Cambria Math"/>
                <w:color w:val="000000" w:themeColor="text1"/>
              </w:rPr>
              <m:t>,#</m:t>
            </m:r>
            <m:d>
              <m:dPr>
                <m:ctrlPr>
                  <w:rPr>
                    <w:rFonts w:ascii="Cambria Math" w:hAnsi="Cambria Math"/>
                    <w:i/>
                    <w:color w:val="000000" w:themeColor="text1"/>
                    <w:lang w:val="en-US"/>
                  </w:rPr>
                </m:ctrlPr>
              </m:dPr>
              <m:e>
                <m:r>
                  <w:rPr>
                    <w:rFonts w:ascii="Cambria Math" w:hAnsi="Cambria Math"/>
                    <w:color w:val="000000" w:themeColor="text1"/>
                  </w:rPr>
                  <m:t>2</m:t>
                </m:r>
              </m:e>
            </m:d>
          </m:e>
        </m:eqArr>
      </m:oMath>
      <w:r w:rsidRPr="009E2146">
        <w:rPr>
          <w:rFonts w:eastAsiaTheme="minorEastAsia"/>
          <w:color w:val="000000" w:themeColor="text1"/>
        </w:rPr>
        <w:t xml:space="preserve">где  </w:t>
      </w:r>
      <m:oMath>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e</m:t>
                </m:r>
              </m:sub>
            </m:sSub>
          </m:e>
        </m:d>
      </m:oMath>
      <w:r w:rsidRPr="009E2146">
        <w:rPr>
          <w:rFonts w:eastAsiaTheme="minorEastAsia"/>
          <w:color w:val="000000" w:themeColor="text1"/>
        </w:rPr>
        <w:t xml:space="preserve"> – вектор силового воздействие; </w:t>
      </w:r>
      <m:oMath>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e</m:t>
                </m:r>
              </m:sub>
            </m:sSub>
          </m:e>
        </m:d>
      </m:oMath>
      <w:r w:rsidRPr="009E2146">
        <w:rPr>
          <w:rFonts w:eastAsiaTheme="minorEastAsia"/>
          <w:color w:val="000000" w:themeColor="text1"/>
        </w:rPr>
        <w:t xml:space="preserve"> – матрица жесткости; </w:t>
      </w:r>
      <m:oMath>
        <m:d>
          <m:dPr>
            <m:begChr m:val="{"/>
            <m:endChr m:val="}"/>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e</m:t>
                </m:r>
              </m:sub>
            </m:sSub>
          </m:e>
        </m:d>
      </m:oMath>
      <w:r w:rsidRPr="009E2146">
        <w:rPr>
          <w:rFonts w:eastAsiaTheme="minorEastAsia"/>
          <w:color w:val="000000" w:themeColor="text1"/>
        </w:rPr>
        <w:t xml:space="preserve"> – вектор перемещений.</w:t>
      </w:r>
    </w:p>
    <w:p w:rsidR="009E2146" w:rsidRPr="009E2146" w:rsidRDefault="009E2146" w:rsidP="00FC43CE">
      <w:pPr>
        <w:spacing w:beforeLines="20" w:before="48" w:afterLines="20" w:after="48"/>
        <w:jc w:val="both"/>
        <w:rPr>
          <w:rFonts w:eastAsiaTheme="minorEastAsia"/>
          <w:color w:val="000000" w:themeColor="text1"/>
        </w:rPr>
      </w:pPr>
      <w:r w:rsidRPr="009E2146">
        <w:rPr>
          <w:rFonts w:eastAsiaTheme="minorEastAsia"/>
          <w:color w:val="000000" w:themeColor="text1"/>
        </w:rPr>
        <w:tab/>
        <w:t>Помимо этого, ведется расчет удельного давления на грунт (</w:t>
      </w:r>
      <w:r w:rsidRPr="009E2146">
        <w:rPr>
          <w:rFonts w:eastAsiaTheme="minorEastAsia"/>
          <w:i/>
          <w:iCs/>
          <w:color w:val="000000" w:themeColor="text1"/>
          <w:lang w:val="en-US"/>
        </w:rPr>
        <w:t>p</w:t>
      </w:r>
      <w:r w:rsidRPr="009E2146">
        <w:rPr>
          <w:rFonts w:eastAsiaTheme="minorEastAsia"/>
          <w:color w:val="000000" w:themeColor="text1"/>
        </w:rPr>
        <w:t xml:space="preserve">). Это критически важный параметр: если после удаления «лишнего» бетона опорная площадь уменьшится </w:t>
      </w:r>
      <w:r w:rsidRPr="009E2146">
        <w:rPr>
          <w:rFonts w:eastAsiaTheme="minorEastAsia"/>
          <w:color w:val="000000" w:themeColor="text1"/>
        </w:rPr>
        <w:lastRenderedPageBreak/>
        <w:t>слишком сильно, давление превысит несущую способность грунта ([</w:t>
      </w:r>
      <w:r w:rsidRPr="009E2146">
        <w:rPr>
          <w:rFonts w:eastAsiaTheme="minorEastAsia"/>
          <w:i/>
          <w:iCs/>
          <w:color w:val="000000" w:themeColor="text1"/>
          <w:lang w:val="en-US"/>
        </w:rPr>
        <w:t>R</w:t>
      </w:r>
      <w:r w:rsidRPr="009E2146">
        <w:rPr>
          <w:rFonts w:eastAsiaTheme="minorEastAsia"/>
          <w:color w:val="000000" w:themeColor="text1"/>
        </w:rPr>
        <w:t>]), что приведет к неконтролируемой осадке и перекосу станины станка:</w:t>
      </w:r>
    </w:p>
    <w:p w:rsidR="009E2146" w:rsidRPr="009E2146" w:rsidRDefault="009E2146" w:rsidP="00FC43CE">
      <w:pPr>
        <w:spacing w:beforeLines="20" w:before="48" w:afterLines="20" w:after="48"/>
        <w:jc w:val="both"/>
        <w:rPr>
          <w:rFonts w:eastAsiaTheme="minorEastAsia"/>
          <w:color w:val="000000" w:themeColor="text1"/>
          <w:lang w:val="en-US"/>
        </w:rPr>
      </w:pPr>
      <m:oMathPara>
        <m:oMath>
          <m:eqArr>
            <m:eqArrPr>
              <m:maxDist m:val="1"/>
              <m:ctrlPr>
                <w:rPr>
                  <w:rFonts w:ascii="Cambria Math" w:eastAsiaTheme="minorEastAsia" w:hAnsi="Cambria Math"/>
                  <w:i/>
                  <w:color w:val="000000" w:themeColor="text1"/>
                  <w:lang w:val="en-US"/>
                </w:rPr>
              </m:ctrlPr>
            </m:eqArrPr>
            <m:e>
              <m:r>
                <w:rPr>
                  <w:rFonts w:ascii="Cambria Math" w:eastAsiaTheme="minorEastAsia" w:hAnsi="Cambria Math"/>
                  <w:color w:val="000000" w:themeColor="text1"/>
                  <w:lang w:val="en-US"/>
                </w:rPr>
                <m:t xml:space="preserve">p= </m:t>
              </m:r>
              <m:f>
                <m:fPr>
                  <m:ctrlPr>
                    <w:rPr>
                      <w:rFonts w:ascii="Cambria Math" w:eastAsiaTheme="minorEastAsia" w:hAnsi="Cambria Math"/>
                      <w:i/>
                      <w:color w:val="000000" w:themeColor="text1"/>
                      <w:lang w:val="en-US"/>
                    </w:rPr>
                  </m:ctrlPr>
                </m:fPr>
                <m:num>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G</m:t>
                      </m:r>
                    </m:e>
                    <m:sub>
                      <m:r>
                        <w:rPr>
                          <w:rFonts w:ascii="Cambria Math" w:eastAsiaTheme="minorEastAsia" w:hAnsi="Cambria Math"/>
                          <w:color w:val="000000" w:themeColor="text1"/>
                        </w:rPr>
                        <m:t>фунд</m:t>
                      </m:r>
                    </m:sub>
                  </m:sSub>
                </m:num>
                <m:den>
                  <m:r>
                    <w:rPr>
                      <w:rFonts w:ascii="Cambria Math" w:eastAsiaTheme="minorEastAsia" w:hAnsi="Cambria Math"/>
                      <w:color w:val="000000" w:themeColor="text1"/>
                      <w:lang w:val="en-US"/>
                    </w:rPr>
                    <m:t>S</m:t>
                  </m:r>
                </m:den>
              </m:f>
              <m:r>
                <w:rPr>
                  <w:rFonts w:ascii="Cambria Math" w:eastAsiaTheme="minorEastAsia" w:hAnsi="Cambria Math"/>
                  <w:color w:val="000000" w:themeColor="text1"/>
                  <w:lang w:val="en-US"/>
                </w:rPr>
                <m:t>≤</m:t>
              </m:r>
              <m:d>
                <m:dPr>
                  <m:begChr m:val="["/>
                  <m:endChr m:val="]"/>
                  <m:ctrlPr>
                    <w:rPr>
                      <w:rFonts w:ascii="Cambria Math" w:eastAsiaTheme="minorEastAsia" w:hAnsi="Cambria Math"/>
                      <w:i/>
                      <w:color w:val="000000" w:themeColor="text1"/>
                      <w:lang w:val="en-US"/>
                    </w:rPr>
                  </m:ctrlPr>
                </m:dPr>
                <m:e>
                  <m:r>
                    <w:rPr>
                      <w:rFonts w:ascii="Cambria Math" w:eastAsiaTheme="minorEastAsia" w:hAnsi="Cambria Math"/>
                      <w:color w:val="000000" w:themeColor="text1"/>
                      <w:lang w:val="en-US"/>
                    </w:rPr>
                    <m:t>R</m:t>
                  </m:r>
                </m:e>
              </m:d>
              <m:r>
                <w:rPr>
                  <w:rFonts w:ascii="Cambria Math" w:eastAsiaTheme="minorEastAsia" w:hAnsi="Cambria Math"/>
                  <w:color w:val="000000" w:themeColor="text1"/>
                  <w:lang w:val="en-US"/>
                </w:rPr>
                <m:t>,#</m:t>
              </m:r>
              <m:d>
                <m:dPr>
                  <m:ctrlPr>
                    <w:rPr>
                      <w:rFonts w:ascii="Cambria Math" w:eastAsiaTheme="minorEastAsia" w:hAnsi="Cambria Math"/>
                      <w:i/>
                      <w:color w:val="000000" w:themeColor="text1"/>
                      <w:lang w:val="en-US"/>
                    </w:rPr>
                  </m:ctrlPr>
                </m:dPr>
                <m:e>
                  <m:r>
                    <w:rPr>
                      <w:rFonts w:ascii="Cambria Math" w:eastAsiaTheme="minorEastAsia" w:hAnsi="Cambria Math"/>
                      <w:color w:val="000000" w:themeColor="text1"/>
                      <w:lang w:val="en-US"/>
                    </w:rPr>
                    <m:t>3</m:t>
                  </m:r>
                </m:e>
              </m:d>
            </m:e>
          </m:eqArr>
        </m:oMath>
      </m:oMathPara>
    </w:p>
    <w:p w:rsidR="00231677" w:rsidRPr="00111800" w:rsidRDefault="009E2146" w:rsidP="00111800">
      <w:pPr>
        <w:spacing w:beforeLines="20" w:before="48" w:afterLines="20" w:after="48"/>
        <w:jc w:val="both"/>
        <w:rPr>
          <w:rFonts w:eastAsiaTheme="minorEastAsia"/>
          <w:color w:val="000000" w:themeColor="text1"/>
          <w:lang w:val="en-US"/>
        </w:rPr>
      </w:pPr>
      <w:r w:rsidRPr="009E2146">
        <w:rPr>
          <w:rFonts w:eastAsiaTheme="minorEastAsia"/>
          <w:color w:val="000000" w:themeColor="text1"/>
        </w:rPr>
        <w:t xml:space="preserve">где  </w:t>
      </w:r>
      <m:oMath>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G</m:t>
            </m:r>
          </m:e>
          <m:sub>
            <m:r>
              <w:rPr>
                <w:rFonts w:ascii="Cambria Math" w:eastAsiaTheme="minorEastAsia" w:hAnsi="Cambria Math"/>
                <w:color w:val="000000" w:themeColor="text1"/>
              </w:rPr>
              <m:t>фунд</m:t>
            </m:r>
          </m:sub>
        </m:sSub>
      </m:oMath>
      <w:r w:rsidRPr="009E2146">
        <w:rPr>
          <w:rFonts w:eastAsiaTheme="minorEastAsia"/>
          <w:color w:val="000000" w:themeColor="text1"/>
        </w:rPr>
        <w:t xml:space="preserve"> – вес фундамента (Н); </w:t>
      </w:r>
      <w:r w:rsidRPr="009E2146">
        <w:rPr>
          <w:rFonts w:eastAsiaTheme="minorEastAsia"/>
          <w:i/>
          <w:iCs/>
          <w:color w:val="000000" w:themeColor="text1"/>
          <w:lang w:val="en-US"/>
        </w:rPr>
        <w:t>S</w:t>
      </w:r>
      <w:r w:rsidRPr="009E2146">
        <w:rPr>
          <w:rFonts w:eastAsiaTheme="minorEastAsia"/>
          <w:color w:val="000000" w:themeColor="text1"/>
        </w:rPr>
        <w:t xml:space="preserve"> – эффективная площадь контакта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м</m:t>
            </m:r>
          </m:e>
          <m:sup>
            <m:r>
              <w:rPr>
                <w:rFonts w:ascii="Cambria Math" w:eastAsiaTheme="minorEastAsia" w:hAnsi="Cambria Math"/>
                <w:color w:val="000000" w:themeColor="text1"/>
              </w:rPr>
              <m:t>2</m:t>
            </m:r>
          </m:sup>
        </m:sSup>
      </m:oMath>
      <w:r w:rsidRPr="009E2146">
        <w:rPr>
          <w:rFonts w:eastAsiaTheme="minorEastAsia"/>
          <w:color w:val="000000" w:themeColor="text1"/>
        </w:rPr>
        <w:t>).</w:t>
      </w:r>
    </w:p>
    <w:p w:rsidR="009E2146" w:rsidRPr="00BA19E5" w:rsidRDefault="009E2146" w:rsidP="00FC43CE">
      <w:pPr>
        <w:spacing w:beforeLines="20" w:before="48" w:afterLines="20" w:after="48"/>
        <w:jc w:val="both"/>
        <w:rPr>
          <w:rFonts w:eastAsiaTheme="minorEastAsia"/>
          <w:color w:val="000000" w:themeColor="text1"/>
        </w:rPr>
      </w:pPr>
      <w:r w:rsidRPr="009E2146">
        <w:rPr>
          <w:rFonts w:eastAsiaTheme="minorEastAsia"/>
          <w:color w:val="000000" w:themeColor="text1"/>
        </w:rPr>
        <w:tab/>
        <w:t>Путем расчета планируется анализировать изменение следующих параметров: масса фундамента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M</m:t>
            </m:r>
          </m:e>
          <m:sub>
            <m:r>
              <w:rPr>
                <w:rFonts w:ascii="Cambria Math" w:eastAsiaTheme="minorEastAsia" w:hAnsi="Cambria Math"/>
                <w:color w:val="000000" w:themeColor="text1"/>
              </w:rPr>
              <m:t>фунд</m:t>
            </m:r>
          </m:sub>
        </m:sSub>
      </m:oMath>
      <w:r w:rsidRPr="009E2146">
        <w:rPr>
          <w:rFonts w:eastAsiaTheme="minorEastAsia"/>
          <w:color w:val="000000" w:themeColor="text1"/>
        </w:rPr>
        <w:t>), собственная частота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lang w:val="en-US"/>
              </w:rPr>
              <m:t>f</m:t>
            </m:r>
          </m:e>
          <m:sub>
            <m:r>
              <w:rPr>
                <w:rFonts w:ascii="Cambria Math" w:eastAsiaTheme="minorEastAsia" w:hAnsi="Cambria Math"/>
                <w:color w:val="000000" w:themeColor="text1"/>
              </w:rPr>
              <m:t>n</m:t>
            </m:r>
          </m:sub>
        </m:sSub>
      </m:oMath>
      <w:r w:rsidRPr="009E2146">
        <w:rPr>
          <w:rFonts w:eastAsiaTheme="minorEastAsia"/>
          <w:color w:val="000000" w:themeColor="text1"/>
        </w:rPr>
        <w:t>) и давление на грунт (</w:t>
      </w:r>
      <w:r w:rsidRPr="009E2146">
        <w:rPr>
          <w:rFonts w:eastAsiaTheme="minorEastAsia"/>
          <w:i/>
          <w:iCs/>
          <w:color w:val="000000" w:themeColor="text1"/>
          <w:lang w:val="en-US"/>
        </w:rPr>
        <w:t>p</w:t>
      </w:r>
      <w:r w:rsidRPr="009E2146">
        <w:rPr>
          <w:rFonts w:eastAsiaTheme="minorEastAsia"/>
          <w:color w:val="000000" w:themeColor="text1"/>
        </w:rPr>
        <w:t>).</w:t>
      </w:r>
      <w:r w:rsidRPr="009E2146">
        <w:rPr>
          <w:color w:val="000000" w:themeColor="text1"/>
        </w:rPr>
        <w:tab/>
      </w:r>
    </w:p>
    <w:p w:rsidR="009E2146" w:rsidRPr="009E2146" w:rsidRDefault="009E2146" w:rsidP="00FC43CE">
      <w:pPr>
        <w:spacing w:beforeLines="20" w:before="48" w:afterLines="20" w:after="48"/>
        <w:jc w:val="both"/>
        <w:rPr>
          <w:color w:val="000000" w:themeColor="text1"/>
        </w:rPr>
      </w:pPr>
      <w:r w:rsidRPr="009E2146">
        <w:rPr>
          <w:color w:val="000000" w:themeColor="text1"/>
        </w:rPr>
        <w:tab/>
        <w:t xml:space="preserve">В реальной инженерной практике снижение массы фундамента без потери его функциональности достигается не простым уменьшением габаритов, а за счет изменения внутренней архитектуры и применения высокотехнологичных материалов. Основными способами являются: переход к кессонным и пустотелым конструкциям; использование полимербетона и </w:t>
      </w:r>
      <w:proofErr w:type="spellStart"/>
      <w:r w:rsidRPr="009E2146">
        <w:rPr>
          <w:color w:val="000000" w:themeColor="text1"/>
        </w:rPr>
        <w:t>синтеграна</w:t>
      </w:r>
      <w:proofErr w:type="spellEnd"/>
      <w:r w:rsidRPr="009E2146">
        <w:rPr>
          <w:color w:val="000000" w:themeColor="text1"/>
        </w:rPr>
        <w:t>; добавление стального каркаса; использование несъемной опалубки из легких материалов.</w:t>
      </w:r>
    </w:p>
    <w:p w:rsidR="009E2146" w:rsidRPr="00E26C8F" w:rsidRDefault="009E2146" w:rsidP="00FC43CE">
      <w:pPr>
        <w:spacing w:beforeLines="20" w:before="48" w:afterLines="20" w:after="48"/>
        <w:jc w:val="both"/>
        <w:rPr>
          <w:color w:val="000000" w:themeColor="text1"/>
        </w:rPr>
      </w:pPr>
      <w:r w:rsidRPr="009E2146">
        <w:rPr>
          <w:color w:val="000000" w:themeColor="text1"/>
        </w:rPr>
        <w:tab/>
        <w:t xml:space="preserve">Результаты расчета для разных степеней оптимизации объема фундамента приведены в таблице </w:t>
      </w:r>
      <w:r w:rsidR="00E26C8F" w:rsidRPr="00E26C8F">
        <w:rPr>
          <w:color w:val="000000" w:themeColor="text1"/>
        </w:rPr>
        <w:t>1</w:t>
      </w:r>
      <w:r w:rsidRPr="009E2146">
        <w:rPr>
          <w:color w:val="000000" w:themeColor="text1"/>
        </w:rPr>
        <w:t>:</w:t>
      </w:r>
    </w:p>
    <w:p w:rsidR="00BA19E5" w:rsidRPr="00BA19E5" w:rsidRDefault="00BA19E5" w:rsidP="00FC43CE">
      <w:pPr>
        <w:spacing w:beforeLines="20" w:before="48" w:afterLines="20" w:after="48"/>
        <w:jc w:val="both"/>
        <w:rPr>
          <w:color w:val="000000" w:themeColor="text1"/>
          <w:lang w:val="en-US"/>
        </w:rPr>
      </w:pPr>
      <w:r>
        <w:rPr>
          <w:color w:val="000000" w:themeColor="text1"/>
        </w:rPr>
        <w:t>Таблица 1</w:t>
      </w:r>
      <w:r>
        <w:rPr>
          <w:color w:val="000000" w:themeColor="text1"/>
          <w:lang w:val="en-US"/>
        </w:rPr>
        <w:t>.</w:t>
      </w:r>
      <w:r>
        <w:rPr>
          <w:color w:val="000000" w:themeColor="text1"/>
        </w:rPr>
        <w:t xml:space="preserve"> Результаты расчета</w:t>
      </w:r>
      <w:r>
        <w:rPr>
          <w:color w:val="000000" w:themeColor="text1"/>
          <w:lang w:val="en-US"/>
        </w:rPr>
        <w:t>.</w:t>
      </w:r>
    </w:p>
    <w:tbl>
      <w:tblPr>
        <w:tblW w:w="90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650"/>
        <w:gridCol w:w="1021"/>
        <w:gridCol w:w="1688"/>
        <w:gridCol w:w="1420"/>
        <w:gridCol w:w="1584"/>
        <w:gridCol w:w="1722"/>
      </w:tblGrid>
      <w:tr w:rsidR="009E2146" w:rsidRPr="009E2146" w:rsidTr="00064142">
        <w:trPr>
          <w:trHeight w:val="601"/>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Степень оптимизации (%)</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Объем бетона (м3)</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Собственная частота (</w:t>
            </w:r>
            <w:proofErr w:type="spellStart"/>
            <w:r w:rsidRPr="0047247B">
              <w:rPr>
                <w:color w:val="000000" w:themeColor="text1"/>
                <w:sz w:val="22"/>
                <w:szCs w:val="22"/>
              </w:rPr>
              <w:t>fn</w:t>
            </w:r>
            <w:proofErr w:type="spellEnd"/>
            <w:r w:rsidRPr="0047247B">
              <w:rPr>
                <w:color w:val="000000" w:themeColor="text1"/>
                <w:sz w:val="22"/>
                <w:szCs w:val="22"/>
              </w:rPr>
              <w:t>​, Гц)</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Давление на грунт (P, кПа)</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Коэффициент запаса ([R]/P)</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Статус конструкции</w:t>
            </w:r>
          </w:p>
        </w:tc>
      </w:tr>
      <w:tr w:rsidR="009E2146" w:rsidRPr="009E2146" w:rsidTr="00047216">
        <w:trPr>
          <w:trHeight w:val="443"/>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0% (База)</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27.0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lang w:val="en-US"/>
              </w:rPr>
            </w:pPr>
            <w:r w:rsidRPr="0047247B">
              <w:rPr>
                <w:color w:val="000000" w:themeColor="text1"/>
                <w:sz w:val="22"/>
                <w:szCs w:val="22"/>
              </w:rPr>
              <w:t>1</w:t>
            </w:r>
            <w:r w:rsidRPr="0047247B">
              <w:rPr>
                <w:color w:val="000000" w:themeColor="text1"/>
                <w:sz w:val="22"/>
                <w:szCs w:val="22"/>
                <w:lang w:val="en-US"/>
              </w:rPr>
              <w:t>0</w:t>
            </w:r>
            <w:r w:rsidRPr="0047247B">
              <w:rPr>
                <w:color w:val="000000" w:themeColor="text1"/>
                <w:sz w:val="22"/>
                <w:szCs w:val="22"/>
              </w:rPr>
              <w:t>.5</w:t>
            </w:r>
            <w:r w:rsidRPr="0047247B">
              <w:rPr>
                <w:color w:val="000000" w:themeColor="text1"/>
                <w:sz w:val="22"/>
                <w:szCs w:val="22"/>
                <w:lang w:val="en-US"/>
              </w:rPr>
              <w:t>6</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lang w:val="en-US"/>
              </w:rPr>
            </w:pPr>
            <w:r w:rsidRPr="0047247B">
              <w:rPr>
                <w:color w:val="000000" w:themeColor="text1"/>
                <w:sz w:val="22"/>
                <w:szCs w:val="22"/>
                <w:lang w:val="en-US"/>
              </w:rPr>
              <w:t>43</w:t>
            </w:r>
            <w:r w:rsidRPr="0047247B">
              <w:rPr>
                <w:color w:val="000000" w:themeColor="text1"/>
                <w:sz w:val="22"/>
                <w:szCs w:val="22"/>
              </w:rPr>
              <w:t>.</w:t>
            </w:r>
            <w:r w:rsidRPr="0047247B">
              <w:rPr>
                <w:color w:val="000000" w:themeColor="text1"/>
                <w:sz w:val="22"/>
                <w:szCs w:val="22"/>
                <w:lang w:val="en-US"/>
              </w:rPr>
              <w:t>5</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5.68</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Избыточная масса</w:t>
            </w:r>
          </w:p>
        </w:tc>
      </w:tr>
      <w:tr w:rsidR="009E2146" w:rsidRPr="009E2146" w:rsidTr="00047216">
        <w:trPr>
          <w:trHeight w:val="298"/>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15%</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22.9</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14.1</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48.1</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4.75</w:t>
            </w:r>
          </w:p>
        </w:tc>
        <w:tc>
          <w:tcPr>
            <w:tcW w:w="1722"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Допустимо</w:t>
            </w:r>
          </w:p>
        </w:tc>
      </w:tr>
      <w:tr w:rsidR="009E2146" w:rsidRPr="009E2146" w:rsidTr="00047216">
        <w:trPr>
          <w:trHeight w:val="134"/>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30%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18.9</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17.8</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54.8</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3.64</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b/>
                <w:bCs/>
                <w:color w:val="000000" w:themeColor="text1"/>
                <w:sz w:val="22"/>
                <w:szCs w:val="22"/>
              </w:rPr>
            </w:pPr>
            <w:r w:rsidRPr="0047247B">
              <w:rPr>
                <w:b/>
                <w:bCs/>
                <w:color w:val="000000" w:themeColor="text1"/>
                <w:sz w:val="22"/>
                <w:szCs w:val="22"/>
              </w:rPr>
              <w:t>Оптимальная зона</w:t>
            </w:r>
          </w:p>
        </w:tc>
      </w:tr>
      <w:tr w:rsidR="009E2146" w:rsidRPr="009E2146" w:rsidTr="00047216">
        <w:trPr>
          <w:trHeight w:val="315"/>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50%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13.5</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22.4</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88.5</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2.25</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Риск деформаций</w:t>
            </w:r>
          </w:p>
        </w:tc>
      </w:tr>
      <w:tr w:rsidR="009E2146" w:rsidRPr="009E2146" w:rsidTr="00047216">
        <w:trPr>
          <w:trHeight w:val="315"/>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70%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8.1</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31.0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165.4</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1.21</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Предельное состояние</w:t>
            </w:r>
          </w:p>
        </w:tc>
      </w:tr>
      <w:tr w:rsidR="009E2146" w:rsidRPr="009E2146" w:rsidTr="00047216">
        <w:trPr>
          <w:trHeight w:val="364"/>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85%</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4.0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45.2</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320.1</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0.62</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Авария (Просадка)</w:t>
            </w:r>
          </w:p>
        </w:tc>
      </w:tr>
      <w:tr w:rsidR="009E2146" w:rsidRPr="009E2146" w:rsidTr="00047216">
        <w:trPr>
          <w:trHeight w:val="346"/>
        </w:trPr>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100%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0.0</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w:t>
            </w:r>
          </w:p>
        </w:tc>
        <w:tc>
          <w:tcPr>
            <w:tcW w:w="0" w:type="auto"/>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w:t>
            </w:r>
          </w:p>
        </w:tc>
        <w:tc>
          <w:tcPr>
            <w:tcW w:w="1584" w:type="dxa"/>
            <w:tcMar>
              <w:top w:w="30" w:type="dxa"/>
              <w:left w:w="45" w:type="dxa"/>
              <w:bottom w:w="30" w:type="dxa"/>
              <w:right w:w="45"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0.00</w:t>
            </w:r>
          </w:p>
        </w:tc>
        <w:tc>
          <w:tcPr>
            <w:tcW w:w="1722" w:type="dxa"/>
            <w:tcMar>
              <w:top w:w="30" w:type="dxa"/>
              <w:left w:w="0" w:type="dxa"/>
              <w:bottom w:w="30" w:type="dxa"/>
              <w:right w:w="0" w:type="dxa"/>
            </w:tcMar>
            <w:vAlign w:val="bottom"/>
            <w:hideMark/>
          </w:tcPr>
          <w:p w:rsidR="009E2146" w:rsidRPr="0047247B" w:rsidRDefault="009E2146" w:rsidP="00FC43CE">
            <w:pPr>
              <w:spacing w:beforeLines="20" w:before="48" w:afterLines="20" w:after="48"/>
              <w:jc w:val="center"/>
              <w:rPr>
                <w:color w:val="000000" w:themeColor="text1"/>
                <w:sz w:val="22"/>
                <w:szCs w:val="22"/>
              </w:rPr>
            </w:pPr>
            <w:r w:rsidRPr="0047247B">
              <w:rPr>
                <w:color w:val="000000" w:themeColor="text1"/>
                <w:sz w:val="22"/>
                <w:szCs w:val="22"/>
              </w:rPr>
              <w:t>Разрушение системы</w:t>
            </w:r>
          </w:p>
        </w:tc>
      </w:tr>
    </w:tbl>
    <w:p w:rsidR="009E2146" w:rsidRPr="009E2146" w:rsidRDefault="009E2146" w:rsidP="00FC43CE">
      <w:pPr>
        <w:spacing w:beforeLines="20" w:before="48" w:afterLines="20" w:after="48"/>
        <w:jc w:val="center"/>
        <w:rPr>
          <w:color w:val="000000" w:themeColor="text1"/>
        </w:rPr>
      </w:pPr>
      <w:r w:rsidRPr="009E2146">
        <w:rPr>
          <w:color w:val="000000" w:themeColor="text1"/>
        </w:rPr>
        <w:t>Таблица 1. Результаты расчета для разных степеней оптимизации.</w:t>
      </w:r>
    </w:p>
    <w:p w:rsidR="009E2146" w:rsidRPr="009E2146" w:rsidRDefault="009E2146" w:rsidP="00FC43CE">
      <w:pPr>
        <w:spacing w:beforeLines="20" w:before="48" w:afterLines="20" w:after="48"/>
        <w:jc w:val="both"/>
        <w:rPr>
          <w:color w:val="000000" w:themeColor="text1"/>
        </w:rPr>
      </w:pPr>
      <w:r w:rsidRPr="009E2146">
        <w:rPr>
          <w:color w:val="000000" w:themeColor="text1"/>
        </w:rPr>
        <w:tab/>
        <w:t>Проведенное исследование доказывает, что топологическая оптимизация объема фундамента металлорежущих станков на основе метода конечных элементов является эффективным инструментом снижения материалоемкости без потери эксплуатационных характеристик. Применение алгоритмов МКЭ позволило идентифицировать зоны с низким уровнем удельной энергии деформации, удаление материала из которых в объеме до 30% практически не отразилось на статической жесткости системы, но обеспечило смещение резонансного пика в высокочастотную область. Таким образом, переход от монолитных блоков к оптимизированным кессонным или полым структурам позволяет достичь баланса между экономической эффективностью строительства и динамической стабильностью станочного комплекса, что подтверждается полученными амплитудно-частотными характеристиками и анализом напряженно-деформированного состояния.</w:t>
      </w:r>
    </w:p>
    <w:p w:rsidR="009E2146" w:rsidRPr="009E2146" w:rsidRDefault="009E2146" w:rsidP="00FC43CE">
      <w:pPr>
        <w:spacing w:beforeLines="20" w:before="48" w:afterLines="20" w:after="48"/>
        <w:jc w:val="both"/>
        <w:rPr>
          <w:color w:val="000000" w:themeColor="text1"/>
        </w:rPr>
      </w:pPr>
      <w:r w:rsidRPr="009E2146">
        <w:rPr>
          <w:color w:val="000000" w:themeColor="text1"/>
        </w:rPr>
        <w:lastRenderedPageBreak/>
        <w:t>Список литературы:</w:t>
      </w:r>
    </w:p>
    <w:p w:rsidR="009E2146" w:rsidRDefault="00F517F2" w:rsidP="00D10D42">
      <w:pPr>
        <w:spacing w:beforeLines="20" w:before="48" w:afterLines="20" w:after="48"/>
        <w:jc w:val="both"/>
        <w:rPr>
          <w:color w:val="000000" w:themeColor="text1"/>
          <w:lang w:val="en-US"/>
        </w:rPr>
      </w:pPr>
      <w:r>
        <w:rPr>
          <w:color w:val="000000" w:themeColor="text1"/>
        </w:rPr>
        <w:t>1</w:t>
      </w:r>
      <w:r w:rsidRPr="00F517F2">
        <w:rPr>
          <w:i/>
          <w:iCs/>
          <w:color w:val="000000" w:themeColor="text1"/>
          <w:lang w:val="en-US"/>
        </w:rPr>
        <w:t xml:space="preserve">. </w:t>
      </w:r>
      <w:r w:rsidR="009E2146" w:rsidRPr="00F517F2">
        <w:rPr>
          <w:i/>
          <w:iCs/>
          <w:color w:val="000000" w:themeColor="text1"/>
        </w:rPr>
        <w:t>Вандер Плас, Дж.</w:t>
      </w:r>
      <w:r w:rsidR="009E2146" w:rsidRPr="009E2146">
        <w:rPr>
          <w:color w:val="000000" w:themeColor="text1"/>
        </w:rPr>
        <w:t xml:space="preserve"> Python для сложных задач: наука о данных и машинное обучение / Дж. Вандер Плас. — Санкт-</w:t>
      </w:r>
      <w:proofErr w:type="gramStart"/>
      <w:r w:rsidR="009E2146" w:rsidRPr="009E2146">
        <w:rPr>
          <w:color w:val="000000" w:themeColor="text1"/>
        </w:rPr>
        <w:t>Петербург :</w:t>
      </w:r>
      <w:proofErr w:type="gramEnd"/>
      <w:r w:rsidR="009E2146" w:rsidRPr="009E2146">
        <w:rPr>
          <w:color w:val="000000" w:themeColor="text1"/>
        </w:rPr>
        <w:t xml:space="preserve"> Питер, 2018. — 576 с.</w:t>
      </w:r>
    </w:p>
    <w:p w:rsidR="00D71503" w:rsidRPr="00F517F2" w:rsidRDefault="00F517F2" w:rsidP="00D10D42">
      <w:pPr>
        <w:pStyle w:val="ab"/>
        <w:spacing w:beforeLines="20" w:before="48" w:beforeAutospacing="0" w:afterLines="20" w:after="48" w:afterAutospacing="0"/>
        <w:jc w:val="both"/>
        <w:rPr>
          <w:color w:val="000000" w:themeColor="text1"/>
        </w:rPr>
      </w:pPr>
      <w:r w:rsidRPr="00F517F2">
        <w:rPr>
          <w:color w:val="000000" w:themeColor="text1"/>
        </w:rPr>
        <w:t xml:space="preserve">2. </w:t>
      </w:r>
      <w:r w:rsidR="00D71503" w:rsidRPr="00F517F2">
        <w:rPr>
          <w:i/>
          <w:iCs/>
          <w:color w:val="000000" w:themeColor="text1"/>
        </w:rPr>
        <w:t>Зенкевич О.</w:t>
      </w:r>
      <w:r w:rsidR="00D71503" w:rsidRPr="009E2146">
        <w:rPr>
          <w:rStyle w:val="apple-converted-space"/>
          <w:rFonts w:eastAsiaTheme="majorEastAsia"/>
          <w:color w:val="000000" w:themeColor="text1"/>
        </w:rPr>
        <w:t> </w:t>
      </w:r>
      <w:r w:rsidR="00D71503" w:rsidRPr="009E2146">
        <w:rPr>
          <w:color w:val="000000" w:themeColor="text1"/>
        </w:rPr>
        <w:t xml:space="preserve">Метод конечных элементов в технике / Пер. с англ. под ред. Б. Е. </w:t>
      </w:r>
      <w:proofErr w:type="spellStart"/>
      <w:r w:rsidR="00D71503" w:rsidRPr="009E2146">
        <w:rPr>
          <w:color w:val="000000" w:themeColor="text1"/>
        </w:rPr>
        <w:t>Победри</w:t>
      </w:r>
      <w:proofErr w:type="spellEnd"/>
      <w:r w:rsidR="00D71503" w:rsidRPr="009E2146">
        <w:rPr>
          <w:color w:val="000000" w:themeColor="text1"/>
        </w:rPr>
        <w:t>. — М.: Мир, 1975. — 541 с.</w:t>
      </w:r>
    </w:p>
    <w:p w:rsidR="00D71503" w:rsidRPr="00F517F2" w:rsidRDefault="00F517F2" w:rsidP="00D10D42">
      <w:pPr>
        <w:pStyle w:val="ab"/>
        <w:spacing w:beforeLines="20" w:before="48" w:beforeAutospacing="0" w:afterLines="20" w:after="48" w:afterAutospacing="0"/>
        <w:jc w:val="both"/>
        <w:rPr>
          <w:color w:val="000000" w:themeColor="text1"/>
        </w:rPr>
      </w:pPr>
      <w:r w:rsidRPr="00F517F2">
        <w:rPr>
          <w:i/>
          <w:iCs/>
          <w:color w:val="000000" w:themeColor="text1"/>
        </w:rPr>
        <w:t xml:space="preserve">3. </w:t>
      </w:r>
      <w:r w:rsidR="00D71503" w:rsidRPr="00F517F2">
        <w:rPr>
          <w:i/>
          <w:iCs/>
          <w:color w:val="000000" w:themeColor="text1"/>
        </w:rPr>
        <w:t>Каминская, В. В., Решетов, Д. Н.</w:t>
      </w:r>
      <w:r w:rsidR="00D71503" w:rsidRPr="009E2146">
        <w:rPr>
          <w:rStyle w:val="apple-converted-space"/>
          <w:rFonts w:eastAsiaTheme="majorEastAsia"/>
          <w:color w:val="000000" w:themeColor="text1"/>
        </w:rPr>
        <w:t> </w:t>
      </w:r>
      <w:r w:rsidR="00D71503" w:rsidRPr="009E2146">
        <w:rPr>
          <w:color w:val="000000" w:themeColor="text1"/>
        </w:rPr>
        <w:t xml:space="preserve">Фундаменты и установка тяжелых станков. — М.: </w:t>
      </w:r>
      <w:proofErr w:type="spellStart"/>
      <w:r w:rsidR="00D71503" w:rsidRPr="009E2146">
        <w:rPr>
          <w:color w:val="000000" w:themeColor="text1"/>
        </w:rPr>
        <w:t>Машгиз</w:t>
      </w:r>
      <w:proofErr w:type="spellEnd"/>
      <w:r w:rsidR="00D71503" w:rsidRPr="009E2146">
        <w:rPr>
          <w:color w:val="000000" w:themeColor="text1"/>
        </w:rPr>
        <w:t>, 1952. — 156 с. (Специализированный труд именно по теме статьи).</w:t>
      </w:r>
    </w:p>
    <w:p w:rsidR="009E2146" w:rsidRPr="009E2146" w:rsidRDefault="00F517F2" w:rsidP="00D10D42">
      <w:pPr>
        <w:pStyle w:val="ab"/>
        <w:spacing w:beforeLines="20" w:before="48" w:beforeAutospacing="0" w:afterLines="20" w:after="48" w:afterAutospacing="0"/>
        <w:jc w:val="both"/>
        <w:rPr>
          <w:color w:val="000000" w:themeColor="text1"/>
        </w:rPr>
      </w:pPr>
      <w:r w:rsidRPr="00F517F2">
        <w:rPr>
          <w:i/>
          <w:iCs/>
          <w:color w:val="000000" w:themeColor="text1"/>
        </w:rPr>
        <w:t xml:space="preserve">4. </w:t>
      </w:r>
      <w:r w:rsidR="009E2146" w:rsidRPr="00F517F2">
        <w:rPr>
          <w:i/>
          <w:iCs/>
          <w:color w:val="000000" w:themeColor="text1"/>
        </w:rPr>
        <w:t>Решетов, Д. Н.</w:t>
      </w:r>
      <w:r w:rsidR="009E2146" w:rsidRPr="00F517F2">
        <w:rPr>
          <w:rStyle w:val="apple-converted-space"/>
          <w:rFonts w:eastAsiaTheme="majorEastAsia"/>
          <w:i/>
          <w:iCs/>
          <w:color w:val="000000" w:themeColor="text1"/>
        </w:rPr>
        <w:t> </w:t>
      </w:r>
      <w:r w:rsidR="009E2146" w:rsidRPr="009E2146">
        <w:rPr>
          <w:color w:val="000000" w:themeColor="text1"/>
        </w:rPr>
        <w:t xml:space="preserve">Детали машин: Учебник для машиностроительных специальностей вузов. — 4-е изд., </w:t>
      </w:r>
      <w:proofErr w:type="spellStart"/>
      <w:r w:rsidR="009E2146" w:rsidRPr="009E2146">
        <w:rPr>
          <w:color w:val="000000" w:themeColor="text1"/>
        </w:rPr>
        <w:t>перераб</w:t>
      </w:r>
      <w:proofErr w:type="spellEnd"/>
      <w:proofErr w:type="gramStart"/>
      <w:r w:rsidR="009E2146" w:rsidRPr="009E2146">
        <w:rPr>
          <w:color w:val="000000" w:themeColor="text1"/>
        </w:rPr>
        <w:t>.</w:t>
      </w:r>
      <w:proofErr w:type="gramEnd"/>
      <w:r w:rsidR="009E2146" w:rsidRPr="009E2146">
        <w:rPr>
          <w:color w:val="000000" w:themeColor="text1"/>
        </w:rPr>
        <w:t xml:space="preserve"> и доп. — М.: Машиностроение, 1989. — 496 с.</w:t>
      </w:r>
    </w:p>
    <w:p w:rsidR="00B25A4D" w:rsidRPr="00D10D42" w:rsidRDefault="00F517F2" w:rsidP="00D10D42">
      <w:pPr>
        <w:pStyle w:val="ab"/>
        <w:spacing w:beforeLines="20" w:before="48" w:beforeAutospacing="0" w:afterLines="20" w:after="48" w:afterAutospacing="0"/>
        <w:jc w:val="both"/>
        <w:rPr>
          <w:color w:val="000000" w:themeColor="text1"/>
          <w:lang w:val="en-US"/>
        </w:rPr>
      </w:pPr>
      <w:r w:rsidRPr="00697269">
        <w:rPr>
          <w:i/>
          <w:iCs/>
          <w:color w:val="000000" w:themeColor="text1"/>
        </w:rPr>
        <w:t xml:space="preserve">5. </w:t>
      </w:r>
      <w:r w:rsidR="009E2146" w:rsidRPr="009E2146">
        <w:rPr>
          <w:i/>
          <w:iCs/>
          <w:color w:val="000000" w:themeColor="text1"/>
        </w:rPr>
        <w:t>Савинов О. А.</w:t>
      </w:r>
      <w:r w:rsidR="009E2146" w:rsidRPr="009E2146">
        <w:rPr>
          <w:rStyle w:val="apple-converted-space"/>
          <w:rFonts w:eastAsiaTheme="majorEastAsia"/>
          <w:color w:val="000000" w:themeColor="text1"/>
        </w:rPr>
        <w:t> </w:t>
      </w:r>
      <w:r w:rsidR="009E2146" w:rsidRPr="009E2146">
        <w:rPr>
          <w:color w:val="000000" w:themeColor="text1"/>
        </w:rPr>
        <w:t xml:space="preserve">Современные конструкции фундаментов под машины и их расчет. — 2-е изд., </w:t>
      </w:r>
      <w:proofErr w:type="spellStart"/>
      <w:r w:rsidR="009E2146" w:rsidRPr="009E2146">
        <w:rPr>
          <w:color w:val="000000" w:themeColor="text1"/>
        </w:rPr>
        <w:t>перераб</w:t>
      </w:r>
      <w:proofErr w:type="spellEnd"/>
      <w:proofErr w:type="gramStart"/>
      <w:r w:rsidR="009E2146" w:rsidRPr="009E2146">
        <w:rPr>
          <w:color w:val="000000" w:themeColor="text1"/>
        </w:rPr>
        <w:t>.</w:t>
      </w:r>
      <w:proofErr w:type="gramEnd"/>
      <w:r w:rsidR="009E2146" w:rsidRPr="009E2146">
        <w:rPr>
          <w:color w:val="000000" w:themeColor="text1"/>
        </w:rPr>
        <w:t xml:space="preserve"> и доп. — Л.: </w:t>
      </w:r>
      <w:proofErr w:type="spellStart"/>
      <w:r w:rsidR="009E2146" w:rsidRPr="009E2146">
        <w:rPr>
          <w:color w:val="000000" w:themeColor="text1"/>
        </w:rPr>
        <w:t>Стройиздат</w:t>
      </w:r>
      <w:proofErr w:type="spellEnd"/>
      <w:r w:rsidR="009E2146" w:rsidRPr="009E2146">
        <w:rPr>
          <w:color w:val="000000" w:themeColor="text1"/>
        </w:rPr>
        <w:t>, 1979. — 200 с.</w:t>
      </w:r>
    </w:p>
    <w:sectPr w:rsidR="00B25A4D" w:rsidRPr="00D10D42" w:rsidSect="0021573B">
      <w:headerReference w:type="default" r:id="rId7"/>
      <w:footerReference w:type="default" r:id="rId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BF3" w:rsidRDefault="00404BF3" w:rsidP="00C604A8">
      <w:r>
        <w:separator/>
      </w:r>
    </w:p>
  </w:endnote>
  <w:endnote w:type="continuationSeparator" w:id="0">
    <w:p w:rsidR="00404BF3" w:rsidRDefault="00404BF3" w:rsidP="00C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429" w:rsidRDefault="00A47429">
    <w:pPr>
      <w:pStyle w:val="a9"/>
      <w:jc w:val="center"/>
    </w:pPr>
    <w:r>
      <w:fldChar w:fldCharType="begin"/>
    </w:r>
    <w:r>
      <w:instrText>PAGE   \* MERGEFORMAT</w:instrText>
    </w:r>
    <w:r>
      <w:fldChar w:fldCharType="separate"/>
    </w:r>
    <w:r w:rsidR="00B37644">
      <w:rPr>
        <w:noProof/>
      </w:rPr>
      <w:t>1</w:t>
    </w:r>
    <w:r>
      <w:fldChar w:fldCharType="end"/>
    </w:r>
  </w:p>
  <w:p w:rsidR="00A47429" w:rsidRDefault="00A474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BF3" w:rsidRDefault="00404BF3" w:rsidP="00C604A8">
      <w:r>
        <w:separator/>
      </w:r>
    </w:p>
  </w:footnote>
  <w:footnote w:type="continuationSeparator" w:id="0">
    <w:p w:rsidR="00404BF3" w:rsidRDefault="00404BF3" w:rsidP="00C6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429" w:rsidRPr="00A47429" w:rsidRDefault="00A47429" w:rsidP="00A47429">
    <w:pPr>
      <w:pStyle w:val="a7"/>
      <w:jc w:val="both"/>
      <w:rPr>
        <w:sz w:val="20"/>
        <w:szCs w:val="20"/>
      </w:rPr>
    </w:pPr>
    <w:hyperlink r:id="rId1" w:history="1">
      <w:r w:rsidRPr="00A47429">
        <w:rPr>
          <w:sz w:val="20"/>
          <w:szCs w:val="20"/>
        </w:rPr>
        <w:t>http://studvesna.ru</w:t>
      </w:r>
    </w:hyperlink>
    <w:r>
      <w:rPr>
        <w:sz w:val="20"/>
        <w:szCs w:val="20"/>
      </w:rPr>
      <w:t xml:space="preserve">                             </w:t>
    </w:r>
    <w:r w:rsidR="0021573B">
      <w:rPr>
        <w:sz w:val="20"/>
        <w:szCs w:val="20"/>
      </w:rPr>
      <w:t xml:space="preserve">                    </w:t>
    </w:r>
    <w:r w:rsidRPr="00A47429">
      <w:rPr>
        <w:sz w:val="20"/>
        <w:szCs w:val="20"/>
      </w:rPr>
      <w:t>Всероссийская научно-техническая конференция студентов</w:t>
    </w:r>
  </w:p>
  <w:p w:rsidR="00A47429" w:rsidRDefault="00B37644" w:rsidP="0021573B">
    <w:pPr>
      <w:pStyle w:val="a7"/>
      <w:pBdr>
        <w:bottom w:val="single" w:sz="6" w:space="1" w:color="auto"/>
      </w:pBdr>
      <w:tabs>
        <w:tab w:val="clear" w:pos="9355"/>
        <w:tab w:val="right" w:pos="9072"/>
      </w:tabs>
      <w:jc w:val="right"/>
      <w:rPr>
        <w:sz w:val="20"/>
        <w:szCs w:val="20"/>
      </w:rPr>
    </w:pPr>
    <w:r>
      <w:rPr>
        <w:sz w:val="20"/>
        <w:szCs w:val="20"/>
      </w:rPr>
      <w:t>Студенческая научная весна</w:t>
    </w:r>
    <w:r w:rsidR="00A47429" w:rsidRPr="00A47429">
      <w:rPr>
        <w:sz w:val="20"/>
        <w:szCs w:val="20"/>
      </w:rPr>
      <w:t xml:space="preserve">: Машиностроительные технологии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7E79"/>
    <w:multiLevelType w:val="multilevel"/>
    <w:tmpl w:val="E48C60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6314A"/>
    <w:multiLevelType w:val="hybridMultilevel"/>
    <w:tmpl w:val="29784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1647E5"/>
    <w:multiLevelType w:val="hybridMultilevel"/>
    <w:tmpl w:val="E48C60E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5202A"/>
    <w:multiLevelType w:val="hybridMultilevel"/>
    <w:tmpl w:val="32C05B4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F54D9C"/>
    <w:multiLevelType w:val="multilevel"/>
    <w:tmpl w:val="69BEFA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51ADD"/>
    <w:multiLevelType w:val="hybridMultilevel"/>
    <w:tmpl w:val="69BEF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858EE"/>
    <w:multiLevelType w:val="hybridMultilevel"/>
    <w:tmpl w:val="A160517A"/>
    <w:lvl w:ilvl="0" w:tplc="FFFFFFFF">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796413552">
    <w:abstractNumId w:val="1"/>
  </w:num>
  <w:num w:numId="2" w16cid:durableId="1693847615">
    <w:abstractNumId w:val="6"/>
  </w:num>
  <w:num w:numId="3" w16cid:durableId="1734229844">
    <w:abstractNumId w:val="5"/>
  </w:num>
  <w:num w:numId="4" w16cid:durableId="1242791772">
    <w:abstractNumId w:val="4"/>
  </w:num>
  <w:num w:numId="5" w16cid:durableId="1052731826">
    <w:abstractNumId w:val="2"/>
  </w:num>
  <w:num w:numId="6" w16cid:durableId="350768440">
    <w:abstractNumId w:val="0"/>
  </w:num>
  <w:num w:numId="7" w16cid:durableId="411389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02"/>
    <w:rsid w:val="00024AC1"/>
    <w:rsid w:val="00047216"/>
    <w:rsid w:val="00064142"/>
    <w:rsid w:val="00090E36"/>
    <w:rsid w:val="00094151"/>
    <w:rsid w:val="000E260B"/>
    <w:rsid w:val="00111800"/>
    <w:rsid w:val="00121639"/>
    <w:rsid w:val="001245C3"/>
    <w:rsid w:val="00173238"/>
    <w:rsid w:val="001B1123"/>
    <w:rsid w:val="0020697D"/>
    <w:rsid w:val="0021573B"/>
    <w:rsid w:val="00231677"/>
    <w:rsid w:val="0027634E"/>
    <w:rsid w:val="002A118A"/>
    <w:rsid w:val="002C5BFD"/>
    <w:rsid w:val="003468C1"/>
    <w:rsid w:val="00346E26"/>
    <w:rsid w:val="00352886"/>
    <w:rsid w:val="0037010A"/>
    <w:rsid w:val="00377FE8"/>
    <w:rsid w:val="003819A0"/>
    <w:rsid w:val="003D6B99"/>
    <w:rsid w:val="004018E5"/>
    <w:rsid w:val="0040474D"/>
    <w:rsid w:val="00404BF3"/>
    <w:rsid w:val="004341DC"/>
    <w:rsid w:val="00443D24"/>
    <w:rsid w:val="0047247B"/>
    <w:rsid w:val="00472E12"/>
    <w:rsid w:val="004A4CC9"/>
    <w:rsid w:val="004B4BA5"/>
    <w:rsid w:val="004E377E"/>
    <w:rsid w:val="00515A7C"/>
    <w:rsid w:val="00553A08"/>
    <w:rsid w:val="005776E5"/>
    <w:rsid w:val="0059011E"/>
    <w:rsid w:val="005B0B36"/>
    <w:rsid w:val="005C66EA"/>
    <w:rsid w:val="005D00E3"/>
    <w:rsid w:val="00613041"/>
    <w:rsid w:val="00643BD8"/>
    <w:rsid w:val="00697269"/>
    <w:rsid w:val="006F7208"/>
    <w:rsid w:val="00703524"/>
    <w:rsid w:val="0075156B"/>
    <w:rsid w:val="007527BF"/>
    <w:rsid w:val="00767396"/>
    <w:rsid w:val="007C2ACC"/>
    <w:rsid w:val="007C2BBC"/>
    <w:rsid w:val="00806270"/>
    <w:rsid w:val="0082374A"/>
    <w:rsid w:val="00823832"/>
    <w:rsid w:val="00834BF1"/>
    <w:rsid w:val="008374B4"/>
    <w:rsid w:val="00875390"/>
    <w:rsid w:val="008851B3"/>
    <w:rsid w:val="008E28E4"/>
    <w:rsid w:val="008F2B4A"/>
    <w:rsid w:val="008F5257"/>
    <w:rsid w:val="009127CF"/>
    <w:rsid w:val="00931F8E"/>
    <w:rsid w:val="00945DBB"/>
    <w:rsid w:val="0095761C"/>
    <w:rsid w:val="00963C84"/>
    <w:rsid w:val="00990C9E"/>
    <w:rsid w:val="00997E00"/>
    <w:rsid w:val="009D0774"/>
    <w:rsid w:val="009E2146"/>
    <w:rsid w:val="009F358E"/>
    <w:rsid w:val="00A03765"/>
    <w:rsid w:val="00A200E7"/>
    <w:rsid w:val="00A37A15"/>
    <w:rsid w:val="00A47429"/>
    <w:rsid w:val="00B25A4D"/>
    <w:rsid w:val="00B37644"/>
    <w:rsid w:val="00B52202"/>
    <w:rsid w:val="00BA19E5"/>
    <w:rsid w:val="00BD6B34"/>
    <w:rsid w:val="00C151B3"/>
    <w:rsid w:val="00C344E8"/>
    <w:rsid w:val="00C40897"/>
    <w:rsid w:val="00C50728"/>
    <w:rsid w:val="00C604A8"/>
    <w:rsid w:val="00C9114E"/>
    <w:rsid w:val="00CA5C28"/>
    <w:rsid w:val="00D10D42"/>
    <w:rsid w:val="00D4189E"/>
    <w:rsid w:val="00D61933"/>
    <w:rsid w:val="00D71503"/>
    <w:rsid w:val="00E0544E"/>
    <w:rsid w:val="00E26C8F"/>
    <w:rsid w:val="00E43C56"/>
    <w:rsid w:val="00EA77C9"/>
    <w:rsid w:val="00ED16BF"/>
    <w:rsid w:val="00EE46FB"/>
    <w:rsid w:val="00F20EF9"/>
    <w:rsid w:val="00F30732"/>
    <w:rsid w:val="00F33150"/>
    <w:rsid w:val="00F42ED2"/>
    <w:rsid w:val="00F474DD"/>
    <w:rsid w:val="00F517F2"/>
    <w:rsid w:val="00F619E2"/>
    <w:rsid w:val="00F9225F"/>
    <w:rsid w:val="00FA07D4"/>
    <w:rsid w:val="00FA1768"/>
    <w:rsid w:val="00FC43CE"/>
    <w:rsid w:val="00FF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1CF07"/>
  <w15:chartTrackingRefBased/>
  <w15:docId w15:val="{9D80F81F-D6FD-3540-8166-A71779F3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202"/>
    <w:rPr>
      <w:sz w:val="24"/>
      <w:szCs w:val="24"/>
    </w:rPr>
  </w:style>
  <w:style w:type="paragraph" w:styleId="1">
    <w:name w:val="heading 1"/>
    <w:basedOn w:val="a"/>
    <w:next w:val="a"/>
    <w:qFormat/>
    <w:rsid w:val="00346E26"/>
    <w:pPr>
      <w:keepNext/>
      <w:spacing w:after="120"/>
      <w:jc w:val="center"/>
      <w:outlineLvl w:val="0"/>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2202"/>
    <w:rPr>
      <w:color w:val="0000FF"/>
      <w:u w:val="single"/>
    </w:rPr>
  </w:style>
  <w:style w:type="table" w:styleId="a4">
    <w:name w:val="Table Grid"/>
    <w:basedOn w:val="a1"/>
    <w:rsid w:val="0075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346E26"/>
    <w:pPr>
      <w:spacing w:line="360" w:lineRule="auto"/>
      <w:ind w:firstLine="720"/>
      <w:jc w:val="both"/>
    </w:pPr>
    <w:rPr>
      <w:bCs/>
    </w:rPr>
  </w:style>
  <w:style w:type="character" w:styleId="a5">
    <w:name w:val="Strong"/>
    <w:qFormat/>
    <w:rsid w:val="005D00E3"/>
    <w:rPr>
      <w:b/>
      <w:bCs/>
    </w:rPr>
  </w:style>
  <w:style w:type="paragraph" w:styleId="a6">
    <w:name w:val="Balloon Text"/>
    <w:basedOn w:val="a"/>
    <w:semiHidden/>
    <w:rsid w:val="004341DC"/>
    <w:rPr>
      <w:rFonts w:ascii="Tahoma" w:hAnsi="Tahoma" w:cs="Tahoma"/>
      <w:sz w:val="16"/>
      <w:szCs w:val="16"/>
    </w:rPr>
  </w:style>
  <w:style w:type="paragraph" w:styleId="a7">
    <w:name w:val="header"/>
    <w:basedOn w:val="a"/>
    <w:link w:val="a8"/>
    <w:rsid w:val="00C604A8"/>
    <w:pPr>
      <w:tabs>
        <w:tab w:val="center" w:pos="4677"/>
        <w:tab w:val="right" w:pos="9355"/>
      </w:tabs>
    </w:pPr>
  </w:style>
  <w:style w:type="character" w:customStyle="1" w:styleId="a8">
    <w:name w:val="Верхний колонтитул Знак"/>
    <w:link w:val="a7"/>
    <w:rsid w:val="00C604A8"/>
    <w:rPr>
      <w:sz w:val="24"/>
      <w:szCs w:val="24"/>
    </w:rPr>
  </w:style>
  <w:style w:type="paragraph" w:styleId="a9">
    <w:name w:val="footer"/>
    <w:basedOn w:val="a"/>
    <w:link w:val="aa"/>
    <w:uiPriority w:val="99"/>
    <w:rsid w:val="00C604A8"/>
    <w:pPr>
      <w:tabs>
        <w:tab w:val="center" w:pos="4677"/>
        <w:tab w:val="right" w:pos="9355"/>
      </w:tabs>
    </w:pPr>
  </w:style>
  <w:style w:type="character" w:customStyle="1" w:styleId="aa">
    <w:name w:val="Нижний колонтитул Знак"/>
    <w:link w:val="a9"/>
    <w:uiPriority w:val="99"/>
    <w:rsid w:val="00C604A8"/>
    <w:rPr>
      <w:sz w:val="24"/>
      <w:szCs w:val="24"/>
    </w:rPr>
  </w:style>
  <w:style w:type="paragraph" w:styleId="ab">
    <w:name w:val="Normal (Web)"/>
    <w:basedOn w:val="a"/>
    <w:uiPriority w:val="99"/>
    <w:unhideWhenUsed/>
    <w:rsid w:val="008374B4"/>
    <w:pPr>
      <w:spacing w:before="100" w:beforeAutospacing="1" w:after="100" w:afterAutospacing="1"/>
    </w:pPr>
  </w:style>
  <w:style w:type="character" w:customStyle="1" w:styleId="apple-converted-space">
    <w:name w:val="apple-converted-space"/>
    <w:basedOn w:val="a0"/>
    <w:rsid w:val="0083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tudves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УДК 53</vt:lpstr>
    </vt:vector>
  </TitlesOfParts>
  <Company>APFN</Company>
  <LinksUpToDate>false</LinksUpToDate>
  <CharactersWithSpaces>5382</CharactersWithSpaces>
  <SharedDoc>false</SharedDoc>
  <HLinks>
    <vt:vector size="12" baseType="variant">
      <vt:variant>
        <vt:i4>852066</vt:i4>
      </vt:variant>
      <vt:variant>
        <vt:i4>24</vt:i4>
      </vt:variant>
      <vt:variant>
        <vt:i4>0</vt:i4>
      </vt:variant>
      <vt:variant>
        <vt:i4>5</vt:i4>
      </vt:variant>
      <vt:variant>
        <vt:lpwstr>mailto:stud-vesna@yandex.ru</vt:lpwstr>
      </vt:variant>
      <vt:variant>
        <vt:lpwstr/>
      </vt:variant>
      <vt:variant>
        <vt:i4>1310793</vt:i4>
      </vt:variant>
      <vt:variant>
        <vt:i4>0</vt:i4>
      </vt:variant>
      <vt:variant>
        <vt:i4>0</vt:i4>
      </vt:variant>
      <vt:variant>
        <vt:i4>5</vt:i4>
      </vt:variant>
      <vt:variant>
        <vt:lpwstr>http://studvesna.ru/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dc:title>
  <dc:subject/>
  <dc:creator>Shevchun</dc:creator>
  <cp:keywords/>
  <cp:lastModifiedBy>Дмитрий</cp:lastModifiedBy>
  <cp:revision>3</cp:revision>
  <cp:lastPrinted>2026-03-20T09:05:00Z</cp:lastPrinted>
  <dcterms:created xsi:type="dcterms:W3CDTF">2026-03-20T09:05:00Z</dcterms:created>
  <dcterms:modified xsi:type="dcterms:W3CDTF">2026-03-20T09:06:00Z</dcterms:modified>
</cp:coreProperties>
</file>