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02" w:rsidRPr="00FF5967" w:rsidRDefault="00311E81" w:rsidP="00B52202">
      <w:pPr>
        <w:rPr>
          <w:b/>
        </w:rPr>
      </w:pPr>
      <w:r w:rsidRPr="00311E81">
        <w:rPr>
          <w:b/>
        </w:rPr>
        <w:t>УДК 678.06:621.64</w:t>
      </w:r>
    </w:p>
    <w:p w:rsidR="00B52202" w:rsidRPr="00BD6B34" w:rsidRDefault="00B52202" w:rsidP="00B52202">
      <w:pPr>
        <w:rPr>
          <w:sz w:val="16"/>
          <w:szCs w:val="16"/>
        </w:rPr>
      </w:pPr>
    </w:p>
    <w:p w:rsidR="00B52202" w:rsidRPr="004725B5" w:rsidRDefault="004725B5" w:rsidP="00B52202">
      <w:pPr>
        <w:rPr>
          <w:b/>
        </w:rPr>
      </w:pPr>
      <w:r w:rsidRPr="004725B5">
        <w:rPr>
          <w:b/>
        </w:rPr>
        <w:t>ВЫБОР ТЕРМОПЛАСТИЧНОГО СВЯЗУЮЩЕГО ДЛЯ БЕЗЛЕЙНЕРНЫХ КОМПОЗИТНЫХ КРИОГЕННЫХ ТОПЛИВНЫХ БАКОВ РАКЕТ-НОСИТЕЛЕЙ</w:t>
      </w:r>
    </w:p>
    <w:p w:rsidR="00B52202" w:rsidRPr="00BD6B34" w:rsidRDefault="00B52202" w:rsidP="00B52202">
      <w:pPr>
        <w:rPr>
          <w:sz w:val="16"/>
          <w:szCs w:val="16"/>
        </w:rPr>
      </w:pPr>
    </w:p>
    <w:p w:rsidR="00B52202" w:rsidRDefault="004725B5" w:rsidP="00B52202">
      <w:r>
        <w:t>Илья Александрович</w:t>
      </w:r>
      <w:r w:rsidR="002A3234" w:rsidRPr="00C35EE8">
        <w:t xml:space="preserve"> </w:t>
      </w:r>
      <w:r w:rsidR="002A3234">
        <w:t>Евсюков</w:t>
      </w:r>
    </w:p>
    <w:p w:rsidR="007823DF" w:rsidRPr="00BD6B34" w:rsidRDefault="007823DF" w:rsidP="00B52202">
      <w:pPr>
        <w:rPr>
          <w:sz w:val="16"/>
          <w:szCs w:val="16"/>
        </w:rPr>
      </w:pPr>
      <w:bookmarkStart w:id="0" w:name="_GoBack"/>
      <w:bookmarkEnd w:id="0"/>
    </w:p>
    <w:p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BA4B69">
        <w:rPr>
          <w:i/>
        </w:rPr>
        <w:t>А</w:t>
      </w:r>
      <w:r w:rsidRPr="00FF5967">
        <w:rPr>
          <w:i/>
        </w:rPr>
        <w:t>.</w:t>
      </w:r>
      <w:r w:rsidR="00BA4B69">
        <w:rPr>
          <w:i/>
        </w:rPr>
        <w:t>В</w:t>
      </w:r>
      <w:r w:rsidRPr="00FF5967">
        <w:rPr>
          <w:i/>
        </w:rPr>
        <w:t xml:space="preserve">. </w:t>
      </w:r>
      <w:r w:rsidR="00BA4B69">
        <w:rPr>
          <w:i/>
        </w:rPr>
        <w:t>Егоров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BA4B69" w:rsidRPr="00BA4B69">
        <w:rPr>
          <w:i/>
        </w:rPr>
        <w:t>доктор наук, пр</w:t>
      </w:r>
      <w:r w:rsidR="00BA4B69">
        <w:rPr>
          <w:i/>
        </w:rPr>
        <w:t>офессор</w:t>
      </w:r>
      <w:r w:rsidR="00BA4B69" w:rsidRPr="00BA4B69">
        <w:rPr>
          <w:i/>
        </w:rPr>
        <w:t>, кафедра "Космические аппараты и ракеты-носители"</w:t>
      </w:r>
    </w:p>
    <w:p w:rsidR="00B52202" w:rsidRPr="00BD6B34" w:rsidRDefault="00B52202" w:rsidP="00B52202">
      <w:pPr>
        <w:rPr>
          <w:sz w:val="16"/>
          <w:szCs w:val="16"/>
        </w:rPr>
      </w:pPr>
    </w:p>
    <w:p w:rsidR="00C35EE8" w:rsidRDefault="00C35EE8" w:rsidP="00B52202">
      <w:pPr>
        <w:ind w:firstLine="709"/>
        <w:jc w:val="both"/>
      </w:pPr>
      <w:r>
        <w:t>Использование полимерных композиционных материалов</w:t>
      </w:r>
      <w:r w:rsidR="000344F5">
        <w:t xml:space="preserve"> (ПКМ)</w:t>
      </w:r>
      <w:r>
        <w:t xml:space="preserve"> с термопластичной матрицей в корпусных конструкциях изделий ракетной техники</w:t>
      </w:r>
      <w:r w:rsidR="000344F5">
        <w:t xml:space="preserve"> открывает новые пути её совершенствования. Такие ПКМ дают выигрыш по массе оболочки баков до 40% в сравнении с алюминиевыми сплавами, </w:t>
      </w:r>
      <w:r w:rsidR="005B213C">
        <w:t xml:space="preserve">а также обладают лучшими </w:t>
      </w:r>
      <w:r w:rsidR="00517F30">
        <w:t xml:space="preserve">герметичностью, ремонтопригодностью и экологичностью, чем </w:t>
      </w:r>
      <w:r w:rsidR="00E54B49">
        <w:t>композиции</w:t>
      </w:r>
      <w:r w:rsidR="00517F30">
        <w:t xml:space="preserve"> с реактопластичным связующим.</w:t>
      </w:r>
    </w:p>
    <w:p w:rsidR="00E54B49" w:rsidRPr="00664048" w:rsidRDefault="00E54B49" w:rsidP="00B52202">
      <w:pPr>
        <w:ind w:firstLine="709"/>
        <w:jc w:val="both"/>
      </w:pPr>
      <w:r>
        <w:t>Полимер, применяемый в качестве матрицы для</w:t>
      </w:r>
      <w:r w:rsidR="00F32AA9">
        <w:t xml:space="preserve"> безлейнерного </w:t>
      </w:r>
      <w:r>
        <w:t xml:space="preserve">композитного бака </w:t>
      </w:r>
      <w:r w:rsidR="00F32AA9">
        <w:t>криогенного</w:t>
      </w:r>
      <w:r w:rsidRPr="00E54B49">
        <w:t xml:space="preserve"> </w:t>
      </w:r>
      <w:r w:rsidR="00F32AA9">
        <w:t>ракетного</w:t>
      </w:r>
      <w:r w:rsidRPr="00E54B49">
        <w:t xml:space="preserve"> </w:t>
      </w:r>
      <w:r w:rsidR="00F32AA9">
        <w:t xml:space="preserve">топлива, должен отвечать следующим требованиям: </w:t>
      </w:r>
      <w:r w:rsidR="00030C5C">
        <w:t xml:space="preserve">повышенные прочностные жесткостные свойства, </w:t>
      </w:r>
      <w:r w:rsidR="00F9634A">
        <w:t xml:space="preserve">сохраняющиеся в интервале </w:t>
      </w:r>
      <w:r w:rsidR="00F9634A" w:rsidRPr="00A501BE">
        <w:t xml:space="preserve">температур от </w:t>
      </w:r>
      <w:r w:rsidR="00B826B0" w:rsidRPr="00A501BE">
        <w:t>-</w:t>
      </w:r>
      <w:r w:rsidR="00F9634A" w:rsidRPr="00A501BE">
        <w:t>260…</w:t>
      </w:r>
      <w:r w:rsidR="00B826B0" w:rsidRPr="00A501BE">
        <w:t>-</w:t>
      </w:r>
      <w:r w:rsidR="00F9634A" w:rsidRPr="00A501BE">
        <w:t>180 °</w:t>
      </w:r>
      <w:r w:rsidR="00F9634A" w:rsidRPr="00A501BE">
        <w:rPr>
          <w:lang w:val="en-US"/>
        </w:rPr>
        <w:t>C</w:t>
      </w:r>
      <w:r w:rsidR="00F9634A" w:rsidRPr="00A501BE">
        <w:t xml:space="preserve"> до </w:t>
      </w:r>
      <w:r w:rsidR="00170E77" w:rsidRPr="00A501BE">
        <w:t>150…</w:t>
      </w:r>
      <w:r w:rsidR="00F9634A" w:rsidRPr="00A501BE">
        <w:t>220 °</w:t>
      </w:r>
      <w:r w:rsidR="00F9634A" w:rsidRPr="00A501BE">
        <w:rPr>
          <w:lang w:val="en-US"/>
        </w:rPr>
        <w:t>C</w:t>
      </w:r>
      <w:r w:rsidR="00664048" w:rsidRPr="00A501BE">
        <w:t xml:space="preserve">, </w:t>
      </w:r>
      <w:r w:rsidR="00B9089A" w:rsidRPr="00A501BE">
        <w:t>высокое</w:t>
      </w:r>
      <w:r w:rsidR="00B9089A">
        <w:t xml:space="preserve"> удлинение при разрыве, низкие</w:t>
      </w:r>
      <w:r w:rsidR="00664048">
        <w:t xml:space="preserve"> гигроскопичность</w:t>
      </w:r>
      <w:r w:rsidR="00B9089A">
        <w:t xml:space="preserve"> и плотность</w:t>
      </w:r>
      <w:r w:rsidR="00664048">
        <w:t xml:space="preserve">, высокая трещиностойкость, близкий с наполнителем КЛТР </w:t>
      </w:r>
      <w:r w:rsidR="002559C8">
        <w:t>(</w:t>
      </w:r>
      <w:r w:rsidR="00B826B0">
        <w:t>-</w:t>
      </w:r>
      <w:r w:rsidR="002559C8">
        <w:t xml:space="preserve">5 </w:t>
      </w:r>
      <w:r w:rsidR="002559C8" w:rsidRPr="002559C8">
        <w:t>–</w:t>
      </w:r>
      <w:r w:rsidR="002559C8">
        <w:t xml:space="preserve"> 10·10</w:t>
      </w:r>
      <w:r w:rsidR="002559C8" w:rsidRPr="002559C8">
        <w:rPr>
          <w:vertAlign w:val="superscript"/>
        </w:rPr>
        <w:t>–6</w:t>
      </w:r>
      <w:r w:rsidR="002559C8">
        <w:t xml:space="preserve"> 1/град),</w:t>
      </w:r>
      <w:r w:rsidR="00664048">
        <w:t xml:space="preserve"> приемлемая обрабатываемость и нал</w:t>
      </w:r>
      <w:r w:rsidR="00066902">
        <w:t>ичие отечественной сырьевой базы</w:t>
      </w:r>
      <w:r w:rsidR="00664048">
        <w:t>.</w:t>
      </w:r>
    </w:p>
    <w:p w:rsidR="00C35EE8" w:rsidRDefault="00042BC5" w:rsidP="00B52202">
      <w:pPr>
        <w:ind w:firstLine="709"/>
        <w:jc w:val="both"/>
      </w:pPr>
      <w:r>
        <w:t xml:space="preserve">Результаты </w:t>
      </w:r>
      <w:r w:rsidR="004B3A33">
        <w:t xml:space="preserve">анализа </w:t>
      </w:r>
      <w:r>
        <w:t xml:space="preserve">свойств </w:t>
      </w:r>
      <w:r w:rsidR="004B3A33">
        <w:t>существующих групп термопластичных соединений</w:t>
      </w:r>
      <w:r>
        <w:t>, сохраняющих работоспособность при криогенных температурах, представлены в Таблице 1</w:t>
      </w:r>
      <w:r w:rsidR="00401FB3">
        <w:t xml:space="preserve"> </w:t>
      </w:r>
      <w:r w:rsidR="00401FB3" w:rsidRPr="00401FB3">
        <w:t>[1-</w:t>
      </w:r>
      <w:r w:rsidR="0052178D">
        <w:t>4</w:t>
      </w:r>
      <w:r w:rsidR="00401FB3" w:rsidRPr="00401FB3">
        <w:t>]</w:t>
      </w:r>
      <w:r>
        <w:t>.</w:t>
      </w:r>
      <w:r w:rsidR="003001AC">
        <w:t xml:space="preserve"> Р</w:t>
      </w:r>
      <w:r w:rsidR="00DF7C03">
        <w:t xml:space="preserve">ассматриваемые полимеры: </w:t>
      </w:r>
      <w:r w:rsidR="003822C2">
        <w:t>полиарилат (ПАР)</w:t>
      </w:r>
      <w:r w:rsidR="003822C2">
        <w:t xml:space="preserve">, </w:t>
      </w:r>
      <w:r w:rsidR="003822C2">
        <w:t>полибензоксазол (ПБО)</w:t>
      </w:r>
      <w:r w:rsidR="003822C2">
        <w:t>, полиимид (ПИ)</w:t>
      </w:r>
      <w:r w:rsidR="00DF7C03">
        <w:t xml:space="preserve">, </w:t>
      </w:r>
      <w:r w:rsidR="003822C2">
        <w:t>полисульфон (ПСФ</w:t>
      </w:r>
      <w:r w:rsidR="006D2363">
        <w:t>)</w:t>
      </w:r>
      <w:r w:rsidR="003822C2">
        <w:t>,</w:t>
      </w:r>
      <w:r w:rsidR="003822C2">
        <w:t xml:space="preserve"> </w:t>
      </w:r>
      <w:r w:rsidR="00DF7C03">
        <w:t>фенилон (ФН), фторопласт (ФТ)</w:t>
      </w:r>
      <w:r w:rsidR="006D2363">
        <w:t xml:space="preserve">, </w:t>
      </w:r>
      <w:r w:rsidR="006D2363">
        <w:t>полиэфирэфиркетон (ПЭЭК)</w:t>
      </w:r>
      <w:r w:rsidR="0084309A">
        <w:t>.</w:t>
      </w:r>
    </w:p>
    <w:p w:rsidR="00A501BE" w:rsidRDefault="00A501BE" w:rsidP="00B52202">
      <w:pPr>
        <w:ind w:firstLine="709"/>
        <w:jc w:val="both"/>
      </w:pPr>
    </w:p>
    <w:p w:rsidR="00042BC5" w:rsidRDefault="006D1A86" w:rsidP="009D62DC">
      <w:pPr>
        <w:ind w:firstLine="709"/>
      </w:pPr>
      <w:r>
        <w:t>Таблица 1.</w:t>
      </w:r>
      <w:r w:rsidR="00042BC5">
        <w:t xml:space="preserve"> Свойства термопластичных ПКМ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964"/>
        <w:gridCol w:w="2041"/>
        <w:gridCol w:w="1814"/>
        <w:gridCol w:w="680"/>
        <w:gridCol w:w="907"/>
        <w:gridCol w:w="964"/>
        <w:gridCol w:w="624"/>
      </w:tblGrid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4B7B20" w:rsidRDefault="004B7B20" w:rsidP="009D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ПКМ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9D62DC">
            <w:pPr>
              <w:jc w:val="center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T</w:t>
            </w:r>
            <w:r w:rsidRPr="00D608ED">
              <w:rPr>
                <w:sz w:val="22"/>
                <w:szCs w:val="22"/>
                <w:vertAlign w:val="subscript"/>
              </w:rPr>
              <w:t>хр</w:t>
            </w:r>
            <w:r w:rsidRPr="00D608ED">
              <w:rPr>
                <w:sz w:val="22"/>
                <w:szCs w:val="22"/>
              </w:rPr>
              <w:t>/T</w:t>
            </w:r>
            <w:r w:rsidRPr="00D608ED">
              <w:rPr>
                <w:sz w:val="22"/>
                <w:szCs w:val="22"/>
                <w:vertAlign w:val="subscript"/>
              </w:rPr>
              <w:t>В</w:t>
            </w:r>
            <w:r w:rsidRPr="00D608ED">
              <w:rPr>
                <w:sz w:val="22"/>
                <w:szCs w:val="22"/>
              </w:rPr>
              <w:t>, °</w:t>
            </w:r>
            <w:r w:rsidRPr="00D608ED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E05463" w:rsidP="009D62DC">
            <w:pPr>
              <w:jc w:val="center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σ</w:t>
            </w:r>
            <w:r w:rsidRPr="00D608ED">
              <w:rPr>
                <w:sz w:val="22"/>
                <w:szCs w:val="22"/>
                <w:vertAlign w:val="subscript"/>
              </w:rPr>
              <w:t>в</w:t>
            </w:r>
            <w:r w:rsidRPr="00D608ED">
              <w:rPr>
                <w:sz w:val="22"/>
                <w:szCs w:val="22"/>
                <w:vertAlign w:val="superscript"/>
              </w:rPr>
              <w:t>+</w:t>
            </w:r>
            <w:r w:rsidRPr="00D608ED">
              <w:rPr>
                <w:sz w:val="22"/>
                <w:szCs w:val="22"/>
              </w:rPr>
              <w:t>/σ</w:t>
            </w:r>
            <w:r w:rsidRPr="00D608ED">
              <w:rPr>
                <w:sz w:val="22"/>
                <w:szCs w:val="22"/>
                <w:vertAlign w:val="subscript"/>
              </w:rPr>
              <w:t>в</w:t>
            </w:r>
            <w:r w:rsidRPr="00D608ED">
              <w:rPr>
                <w:sz w:val="22"/>
                <w:szCs w:val="22"/>
                <w:vertAlign w:val="superscript"/>
              </w:rPr>
              <w:t>–</w:t>
            </w:r>
            <w:r w:rsidRPr="00D608ED">
              <w:rPr>
                <w:sz w:val="22"/>
                <w:szCs w:val="22"/>
              </w:rPr>
              <w:t>/σ</w:t>
            </w:r>
            <w:r w:rsidRPr="00D608ED">
              <w:rPr>
                <w:sz w:val="22"/>
                <w:szCs w:val="22"/>
                <w:vertAlign w:val="subscript"/>
              </w:rPr>
              <w:t>ви</w:t>
            </w:r>
            <w:r w:rsidRPr="00D608ED">
              <w:rPr>
                <w:sz w:val="22"/>
                <w:szCs w:val="22"/>
              </w:rPr>
              <w:t>, МПа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9D62DC">
            <w:pPr>
              <w:jc w:val="center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E</w:t>
            </w:r>
            <w:r w:rsidRPr="00D608ED">
              <w:rPr>
                <w:sz w:val="22"/>
                <w:szCs w:val="22"/>
                <w:vertAlign w:val="subscript"/>
              </w:rPr>
              <w:t>в</w:t>
            </w:r>
            <w:r w:rsidRPr="00D608ED">
              <w:rPr>
                <w:sz w:val="22"/>
                <w:szCs w:val="22"/>
                <w:vertAlign w:val="superscript"/>
              </w:rPr>
              <w:t>+</w:t>
            </w:r>
            <w:r w:rsidRPr="00D608ED">
              <w:rPr>
                <w:sz w:val="22"/>
                <w:szCs w:val="22"/>
              </w:rPr>
              <w:t>/E</w:t>
            </w:r>
            <w:r w:rsidRPr="00D608ED">
              <w:rPr>
                <w:sz w:val="22"/>
                <w:szCs w:val="22"/>
                <w:vertAlign w:val="subscript"/>
              </w:rPr>
              <w:t>в</w:t>
            </w:r>
            <w:r w:rsidRPr="00D608ED">
              <w:rPr>
                <w:sz w:val="22"/>
                <w:szCs w:val="22"/>
                <w:vertAlign w:val="superscript"/>
              </w:rPr>
              <w:t>–</w:t>
            </w:r>
            <w:r w:rsidRPr="00D608ED">
              <w:rPr>
                <w:sz w:val="22"/>
                <w:szCs w:val="22"/>
              </w:rPr>
              <w:t>/E</w:t>
            </w:r>
            <w:r w:rsidRPr="00D608ED">
              <w:rPr>
                <w:sz w:val="22"/>
                <w:szCs w:val="22"/>
                <w:vertAlign w:val="subscript"/>
              </w:rPr>
              <w:t>ви</w:t>
            </w:r>
            <w:r w:rsidRPr="00D608ED">
              <w:rPr>
                <w:sz w:val="22"/>
                <w:szCs w:val="22"/>
              </w:rPr>
              <w:t>, ГПа</w:t>
            </w:r>
          </w:p>
        </w:tc>
        <w:tc>
          <w:tcPr>
            <w:tcW w:w="680" w:type="dxa"/>
            <w:shd w:val="clear" w:color="auto" w:fill="auto"/>
          </w:tcPr>
          <w:p w:rsidR="00E05463" w:rsidRPr="00D608ED" w:rsidRDefault="00E05463" w:rsidP="009D62DC">
            <w:pPr>
              <w:jc w:val="center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ε, %</w:t>
            </w:r>
          </w:p>
        </w:tc>
        <w:tc>
          <w:tcPr>
            <w:tcW w:w="907" w:type="dxa"/>
            <w:shd w:val="clear" w:color="auto" w:fill="auto"/>
          </w:tcPr>
          <w:p w:rsidR="00E05463" w:rsidRPr="009D62DC" w:rsidRDefault="00E05463" w:rsidP="009D62DC">
            <w:pPr>
              <w:jc w:val="center"/>
              <w:rPr>
                <w:sz w:val="22"/>
                <w:szCs w:val="22"/>
              </w:rPr>
            </w:pPr>
            <w:r w:rsidRPr="009D62DC">
              <w:rPr>
                <w:sz w:val="22"/>
                <w:szCs w:val="22"/>
              </w:rPr>
              <w:t>КЛТР</w:t>
            </w:r>
            <w:r w:rsidRPr="009D62DC">
              <w:rPr>
                <w:sz w:val="22"/>
                <w:szCs w:val="22"/>
              </w:rPr>
              <w:t>,</w:t>
            </w:r>
          </w:p>
          <w:p w:rsidR="00E05463" w:rsidRPr="00D608ED" w:rsidRDefault="00E05463" w:rsidP="009D62DC">
            <w:pPr>
              <w:jc w:val="center"/>
              <w:rPr>
                <w:sz w:val="22"/>
                <w:szCs w:val="22"/>
              </w:rPr>
            </w:pPr>
            <w:r w:rsidRPr="009D62DC">
              <w:rPr>
                <w:sz w:val="22"/>
                <w:szCs w:val="22"/>
              </w:rPr>
              <w:t>10</w:t>
            </w:r>
            <w:r w:rsidRPr="009D62DC">
              <w:rPr>
                <w:sz w:val="22"/>
                <w:szCs w:val="22"/>
                <w:vertAlign w:val="superscript"/>
              </w:rPr>
              <w:t>-6</w:t>
            </w:r>
            <w:r w:rsidRPr="009D62DC">
              <w:rPr>
                <w:sz w:val="22"/>
                <w:szCs w:val="22"/>
              </w:rPr>
              <w:t xml:space="preserve"> </w:t>
            </w:r>
            <w:r w:rsidR="009D62DC" w:rsidRPr="009D62DC">
              <w:rPr>
                <w:sz w:val="22"/>
                <w:szCs w:val="22"/>
              </w:rPr>
              <w:t>°C</w:t>
            </w:r>
            <w:r w:rsidR="009D62DC" w:rsidRPr="009D62DC">
              <w:rPr>
                <w:sz w:val="22"/>
                <w:szCs w:val="22"/>
                <w:vertAlign w:val="superscript"/>
              </w:rPr>
              <w:t>−1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9D62DC">
            <w:pPr>
              <w:jc w:val="center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В</w:t>
            </w:r>
            <w:r w:rsidRPr="00D608ED">
              <w:rPr>
                <w:sz w:val="22"/>
                <w:szCs w:val="22"/>
                <w:vertAlign w:val="subscript"/>
              </w:rPr>
              <w:t>24</w:t>
            </w:r>
            <w:r w:rsidRPr="00D608ED">
              <w:rPr>
                <w:sz w:val="22"/>
                <w:szCs w:val="22"/>
              </w:rPr>
              <w:t>, %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9D62DC">
            <w:pPr>
              <w:jc w:val="center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ρ, кг/м</w:t>
            </w:r>
            <w:r w:rsidRPr="00D608E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ПАР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-200/200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70-77/97</w:t>
            </w:r>
            <w:r w:rsidRPr="00D608ED">
              <w:rPr>
                <w:sz w:val="22"/>
                <w:szCs w:val="22"/>
                <w:lang w:val="en-US"/>
              </w:rPr>
              <w:t>/80-105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1.8/2.1</w:t>
            </w:r>
            <w:r w:rsidRPr="00D608ED">
              <w:rPr>
                <w:sz w:val="22"/>
                <w:szCs w:val="22"/>
                <w:lang w:val="en-US"/>
              </w:rPr>
              <w:t>/2.3</w:t>
            </w:r>
          </w:p>
        </w:tc>
        <w:tc>
          <w:tcPr>
            <w:tcW w:w="680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62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5A42C4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0.25</w:t>
            </w:r>
            <w:r w:rsidR="005A42C4">
              <w:rPr>
                <w:sz w:val="22"/>
                <w:szCs w:val="22"/>
                <w:lang w:val="en-US"/>
              </w:rPr>
              <w:t>-</w:t>
            </w:r>
            <w:r w:rsidRPr="00D608ED">
              <w:rPr>
                <w:sz w:val="22"/>
                <w:szCs w:val="22"/>
              </w:rPr>
              <w:t>0.26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1210</w:t>
            </w:r>
          </w:p>
        </w:tc>
      </w:tr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ПБО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-250/260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70</w:t>
            </w:r>
            <w:r w:rsidRPr="00D608ED">
              <w:rPr>
                <w:sz w:val="22"/>
                <w:szCs w:val="22"/>
                <w:lang w:val="en-US"/>
              </w:rPr>
              <w:t>/</w:t>
            </w:r>
            <w:r w:rsidRPr="00D608ED">
              <w:rPr>
                <w:sz w:val="22"/>
                <w:szCs w:val="22"/>
              </w:rPr>
              <w:t>220</w:t>
            </w:r>
            <w:r w:rsidRPr="00D608ED">
              <w:rPr>
                <w:sz w:val="22"/>
                <w:szCs w:val="22"/>
                <w:lang w:val="en-US"/>
              </w:rPr>
              <w:t>/100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2.3-4.3/-</w:t>
            </w:r>
            <w:r w:rsidRPr="00D608ED">
              <w:rPr>
                <w:sz w:val="22"/>
                <w:szCs w:val="22"/>
                <w:lang w:val="en-US"/>
              </w:rPr>
              <w:t>/3.5-3.8</w:t>
            </w:r>
          </w:p>
        </w:tc>
        <w:tc>
          <w:tcPr>
            <w:tcW w:w="680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3-12</w:t>
            </w:r>
          </w:p>
        </w:tc>
        <w:tc>
          <w:tcPr>
            <w:tcW w:w="907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1300</w:t>
            </w:r>
          </w:p>
        </w:tc>
      </w:tr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ПИ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-200/280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7B4C51" w:rsidP="00D608E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110</w:t>
            </w:r>
            <w:r w:rsidR="00E05463" w:rsidRPr="00D608ED">
              <w:rPr>
                <w:sz w:val="22"/>
                <w:szCs w:val="22"/>
              </w:rPr>
              <w:t>/192-280</w:t>
            </w:r>
            <w:r w:rsidR="00E05463" w:rsidRPr="00D608ED">
              <w:rPr>
                <w:sz w:val="22"/>
                <w:szCs w:val="22"/>
                <w:lang w:val="en-US"/>
              </w:rPr>
              <w:t>/150-200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3.5-4.9/-</w:t>
            </w:r>
            <w:r w:rsidRPr="00D608ED">
              <w:rPr>
                <w:sz w:val="22"/>
                <w:szCs w:val="22"/>
                <w:lang w:val="en-US"/>
              </w:rPr>
              <w:t>/3.1-4.9</w:t>
            </w:r>
          </w:p>
        </w:tc>
        <w:tc>
          <w:tcPr>
            <w:tcW w:w="680" w:type="dxa"/>
            <w:shd w:val="clear" w:color="auto" w:fill="auto"/>
          </w:tcPr>
          <w:p w:rsidR="00E05463" w:rsidRPr="00D608ED" w:rsidRDefault="00D608ED" w:rsidP="00D608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&gt; </w:t>
            </w:r>
            <w:r w:rsidR="00E05463" w:rsidRPr="00D608ED">
              <w:rPr>
                <w:sz w:val="22"/>
                <w:szCs w:val="22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40-60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5A42C4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0.20</w:t>
            </w:r>
            <w:r w:rsidR="005A42C4">
              <w:rPr>
                <w:sz w:val="22"/>
                <w:szCs w:val="22"/>
                <w:lang w:val="en-US"/>
              </w:rPr>
              <w:t>-</w:t>
            </w:r>
            <w:r w:rsidRPr="00D608ED">
              <w:rPr>
                <w:sz w:val="22"/>
                <w:szCs w:val="22"/>
              </w:rPr>
              <w:t>0.23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1420</w:t>
            </w:r>
          </w:p>
        </w:tc>
      </w:tr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ПСФ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-100/190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55-60/97</w:t>
            </w:r>
            <w:r w:rsidRPr="00D608ED">
              <w:rPr>
                <w:sz w:val="22"/>
                <w:szCs w:val="22"/>
                <w:lang w:val="en-US"/>
              </w:rPr>
              <w:t>/107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2.5/2.6</w:t>
            </w:r>
            <w:r w:rsidRPr="00D608ED">
              <w:rPr>
                <w:sz w:val="22"/>
                <w:szCs w:val="22"/>
                <w:lang w:val="en-US"/>
              </w:rPr>
              <w:t>/2.7</w:t>
            </w:r>
          </w:p>
        </w:tc>
        <w:tc>
          <w:tcPr>
            <w:tcW w:w="680" w:type="dxa"/>
            <w:shd w:val="clear" w:color="auto" w:fill="auto"/>
          </w:tcPr>
          <w:p w:rsidR="00E05463" w:rsidRPr="00E8578D" w:rsidRDefault="00E8578D" w:rsidP="00D608E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&gt;30</w:t>
            </w:r>
          </w:p>
        </w:tc>
        <w:tc>
          <w:tcPr>
            <w:tcW w:w="907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56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5A42C4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0.20</w:t>
            </w:r>
            <w:r w:rsidR="005A42C4">
              <w:rPr>
                <w:sz w:val="22"/>
                <w:szCs w:val="22"/>
                <w:lang w:val="en-US"/>
              </w:rPr>
              <w:t>-</w:t>
            </w:r>
            <w:r w:rsidRPr="00D608ED">
              <w:rPr>
                <w:sz w:val="22"/>
                <w:szCs w:val="22"/>
              </w:rPr>
              <w:t>0.30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1245</w:t>
            </w:r>
          </w:p>
        </w:tc>
      </w:tr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ФН</w:t>
            </w:r>
            <w:r w:rsidRPr="00D608E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-100/280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E05463" w:rsidP="007B4C51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14</w:t>
            </w:r>
            <w:r w:rsidR="007B4C51">
              <w:rPr>
                <w:sz w:val="22"/>
                <w:szCs w:val="22"/>
              </w:rPr>
              <w:t>5</w:t>
            </w:r>
            <w:r w:rsidRPr="00D608ED">
              <w:rPr>
                <w:sz w:val="22"/>
                <w:szCs w:val="22"/>
              </w:rPr>
              <w:t>/220-240</w:t>
            </w:r>
            <w:r w:rsidRPr="00D608ED">
              <w:rPr>
                <w:sz w:val="22"/>
                <w:szCs w:val="22"/>
                <w:lang w:val="en-US"/>
              </w:rPr>
              <w:t>/150-170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4.0-4.4/3.1</w:t>
            </w:r>
            <w:r w:rsidRPr="00D608ED">
              <w:rPr>
                <w:sz w:val="22"/>
                <w:szCs w:val="22"/>
                <w:lang w:val="en-US"/>
              </w:rPr>
              <w:t>/-</w:t>
            </w:r>
          </w:p>
        </w:tc>
        <w:tc>
          <w:tcPr>
            <w:tcW w:w="680" w:type="dxa"/>
            <w:shd w:val="clear" w:color="auto" w:fill="auto"/>
          </w:tcPr>
          <w:p w:rsidR="00E05463" w:rsidRPr="00D608ED" w:rsidRDefault="00E05463" w:rsidP="00E8578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4-</w:t>
            </w:r>
            <w:r w:rsidR="00E8578D"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E05463" w:rsidRPr="00D608ED" w:rsidRDefault="00E05463" w:rsidP="00E8578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30-</w:t>
            </w:r>
            <w:r w:rsidR="00E8578D">
              <w:rPr>
                <w:sz w:val="22"/>
                <w:szCs w:val="22"/>
              </w:rPr>
              <w:t>35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5A42C4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0.30</w:t>
            </w:r>
            <w:r w:rsidR="005A42C4">
              <w:rPr>
                <w:sz w:val="22"/>
                <w:szCs w:val="22"/>
                <w:lang w:val="en-US"/>
              </w:rPr>
              <w:t>-</w:t>
            </w:r>
            <w:r w:rsidRPr="00D608ED">
              <w:rPr>
                <w:sz w:val="22"/>
                <w:szCs w:val="22"/>
              </w:rPr>
              <w:t>0.40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1325</w:t>
            </w:r>
          </w:p>
        </w:tc>
      </w:tr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ФТ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-269/260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34-49/49</w:t>
            </w:r>
            <w:r w:rsidRPr="00D608ED">
              <w:rPr>
                <w:sz w:val="22"/>
                <w:szCs w:val="22"/>
                <w:lang w:val="en-US"/>
              </w:rPr>
              <w:t>/41-49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1.0-1.6/</w:t>
            </w:r>
            <w:r w:rsidRPr="00D608ED">
              <w:rPr>
                <w:sz w:val="22"/>
                <w:szCs w:val="22"/>
              </w:rPr>
              <w:t>1.2-1.5</w:t>
            </w:r>
            <w:r w:rsidRPr="00D608ED">
              <w:rPr>
                <w:sz w:val="22"/>
                <w:szCs w:val="22"/>
                <w:lang w:val="en-US"/>
              </w:rPr>
              <w:t>/1.4</w:t>
            </w:r>
          </w:p>
        </w:tc>
        <w:tc>
          <w:tcPr>
            <w:tcW w:w="680" w:type="dxa"/>
            <w:shd w:val="clear" w:color="auto" w:fill="auto"/>
          </w:tcPr>
          <w:p w:rsidR="00E05463" w:rsidRPr="00D608ED" w:rsidRDefault="00D608ED" w:rsidP="00D608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&gt; </w:t>
            </w:r>
            <w:r w:rsidR="00E05463" w:rsidRPr="00D608ED"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60-120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  <w:lang w:val="en-US"/>
              </w:rPr>
              <w:t>&lt; 0.01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2200</w:t>
            </w:r>
          </w:p>
        </w:tc>
      </w:tr>
      <w:tr w:rsidR="007B4C51" w:rsidRPr="0084309A" w:rsidTr="00E8578D">
        <w:trPr>
          <w:jc w:val="center"/>
        </w:trPr>
        <w:tc>
          <w:tcPr>
            <w:tcW w:w="79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ПЭЭК</w:t>
            </w:r>
            <w:r w:rsidRPr="00D608E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  <w:lang w:val="en-US"/>
              </w:rPr>
              <w:t>-/&lt; 260</w:t>
            </w:r>
          </w:p>
        </w:tc>
        <w:tc>
          <w:tcPr>
            <w:tcW w:w="2041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96/-/</w:t>
            </w:r>
            <w:r w:rsidR="0052178D">
              <w:rPr>
                <w:sz w:val="22"/>
                <w:szCs w:val="22"/>
              </w:rPr>
              <w:t>100-</w:t>
            </w:r>
            <w:r w:rsidRPr="00D608ED">
              <w:rPr>
                <w:sz w:val="22"/>
                <w:szCs w:val="22"/>
              </w:rPr>
              <w:t>169</w:t>
            </w:r>
          </w:p>
        </w:tc>
        <w:tc>
          <w:tcPr>
            <w:tcW w:w="181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</w:rPr>
              <w:t>3.4/-/4.1</w:t>
            </w:r>
          </w:p>
        </w:tc>
        <w:tc>
          <w:tcPr>
            <w:tcW w:w="680" w:type="dxa"/>
            <w:shd w:val="clear" w:color="auto" w:fill="auto"/>
          </w:tcPr>
          <w:p w:rsidR="00E05463" w:rsidRPr="00D608ED" w:rsidRDefault="0052178D" w:rsidP="00D608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5-100</w:t>
            </w:r>
          </w:p>
        </w:tc>
        <w:tc>
          <w:tcPr>
            <w:tcW w:w="907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</w:rPr>
              <w:t>26</w:t>
            </w:r>
            <w:r w:rsidRPr="00D608ED">
              <w:rPr>
                <w:sz w:val="22"/>
                <w:szCs w:val="22"/>
                <w:lang w:val="en-US"/>
              </w:rPr>
              <w:t xml:space="preserve"> – 50</w:t>
            </w:r>
          </w:p>
        </w:tc>
        <w:tc>
          <w:tcPr>
            <w:tcW w:w="96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  <w:lang w:val="en-US"/>
              </w:rPr>
            </w:pPr>
            <w:r w:rsidRPr="00D608ED"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624" w:type="dxa"/>
            <w:shd w:val="clear" w:color="auto" w:fill="auto"/>
          </w:tcPr>
          <w:p w:rsidR="00E05463" w:rsidRPr="00D608ED" w:rsidRDefault="00E05463" w:rsidP="00D608ED">
            <w:pPr>
              <w:jc w:val="both"/>
              <w:rPr>
                <w:sz w:val="22"/>
                <w:szCs w:val="22"/>
              </w:rPr>
            </w:pPr>
            <w:r w:rsidRPr="00D608ED">
              <w:rPr>
                <w:sz w:val="22"/>
                <w:szCs w:val="22"/>
                <w:lang w:val="en-US"/>
              </w:rPr>
              <w:t>1320</w:t>
            </w:r>
          </w:p>
        </w:tc>
      </w:tr>
      <w:tr w:rsidR="00401FB3" w:rsidRPr="0084309A" w:rsidTr="00E8578D">
        <w:trPr>
          <w:jc w:val="center"/>
        </w:trPr>
        <w:tc>
          <w:tcPr>
            <w:tcW w:w="8788" w:type="dxa"/>
            <w:gridSpan w:val="8"/>
            <w:shd w:val="clear" w:color="auto" w:fill="auto"/>
          </w:tcPr>
          <w:p w:rsidR="00401FB3" w:rsidRPr="00401FB3" w:rsidRDefault="00401FB3" w:rsidP="00401FB3">
            <w:pPr>
              <w:jc w:val="both"/>
              <w:rPr>
                <w:sz w:val="22"/>
                <w:szCs w:val="22"/>
              </w:rPr>
            </w:pPr>
            <w:r w:rsidRPr="00401FB3">
              <w:rPr>
                <w:sz w:val="22"/>
                <w:szCs w:val="22"/>
              </w:rPr>
              <w:t>Примечания:</w:t>
            </w:r>
          </w:p>
          <w:p w:rsidR="00401FB3" w:rsidRPr="00401FB3" w:rsidRDefault="00401FB3" w:rsidP="00401FB3">
            <w:pPr>
              <w:jc w:val="both"/>
              <w:rPr>
                <w:sz w:val="22"/>
                <w:szCs w:val="22"/>
              </w:rPr>
            </w:pPr>
            <w:r w:rsidRPr="00401FB3">
              <w:rPr>
                <w:sz w:val="22"/>
                <w:szCs w:val="22"/>
              </w:rPr>
              <w:t>1. существующие исследования подтверждают</w:t>
            </w:r>
            <w:r>
              <w:rPr>
                <w:sz w:val="22"/>
                <w:szCs w:val="22"/>
              </w:rPr>
              <w:t xml:space="preserve"> работоспособность фенилона при</w:t>
            </w:r>
            <w:r>
              <w:rPr>
                <w:sz w:val="22"/>
                <w:szCs w:val="22"/>
              </w:rPr>
              <w:br/>
              <w:t xml:space="preserve">    </w:t>
            </w:r>
            <w:r w:rsidRPr="00401FB3">
              <w:rPr>
                <w:sz w:val="22"/>
                <w:szCs w:val="22"/>
              </w:rPr>
              <w:t>температуре жидкого азота;</w:t>
            </w:r>
          </w:p>
          <w:p w:rsidR="00401FB3" w:rsidRPr="00401FB3" w:rsidRDefault="00401FB3" w:rsidP="00401FB3">
            <w:pPr>
              <w:jc w:val="both"/>
              <w:rPr>
                <w:sz w:val="22"/>
                <w:szCs w:val="22"/>
              </w:rPr>
            </w:pPr>
            <w:r w:rsidRPr="00401FB3">
              <w:rPr>
                <w:sz w:val="22"/>
                <w:szCs w:val="22"/>
              </w:rPr>
              <w:t xml:space="preserve">2. баки из углеволокна и ПЭЭК проходят испытания на фирме </w:t>
            </w:r>
            <w:r w:rsidRPr="00401FB3">
              <w:rPr>
                <w:sz w:val="22"/>
                <w:szCs w:val="22"/>
                <w:lang w:val="en-US"/>
              </w:rPr>
              <w:t>Boeing</w:t>
            </w:r>
            <w:r w:rsidRPr="00401FB3">
              <w:rPr>
                <w:sz w:val="22"/>
                <w:szCs w:val="22"/>
              </w:rPr>
              <w:t xml:space="preserve"> [</w:t>
            </w:r>
            <w:r w:rsidR="00BA5C7A" w:rsidRPr="00BA5C7A">
              <w:rPr>
                <w:sz w:val="22"/>
                <w:szCs w:val="22"/>
              </w:rPr>
              <w:t>5</w:t>
            </w:r>
            <w:r w:rsidRPr="00401FB3">
              <w:rPr>
                <w:sz w:val="22"/>
                <w:szCs w:val="22"/>
              </w:rPr>
              <w:t>];</w:t>
            </w:r>
          </w:p>
          <w:p w:rsidR="00401FB3" w:rsidRPr="00401FB3" w:rsidRDefault="00401FB3" w:rsidP="00401FB3">
            <w:pPr>
              <w:jc w:val="both"/>
              <w:rPr>
                <w:sz w:val="22"/>
                <w:szCs w:val="22"/>
              </w:rPr>
            </w:pPr>
            <w:r w:rsidRPr="00401FB3">
              <w:rPr>
                <w:sz w:val="22"/>
                <w:szCs w:val="22"/>
              </w:rPr>
              <w:t>3. повышение теплостойкости ПКМ при введении наполнителя не учитывается;</w:t>
            </w:r>
          </w:p>
          <w:p w:rsidR="00401FB3" w:rsidRPr="00401FB3" w:rsidRDefault="00401FB3" w:rsidP="00401FB3">
            <w:pPr>
              <w:jc w:val="both"/>
              <w:rPr>
                <w:sz w:val="22"/>
                <w:szCs w:val="22"/>
              </w:rPr>
            </w:pPr>
            <w:r w:rsidRPr="00401FB3">
              <w:rPr>
                <w:sz w:val="22"/>
                <w:szCs w:val="22"/>
              </w:rPr>
              <w:t>4. T</w:t>
            </w:r>
            <w:r w:rsidRPr="00401FB3">
              <w:rPr>
                <w:sz w:val="22"/>
                <w:szCs w:val="22"/>
                <w:vertAlign w:val="subscript"/>
              </w:rPr>
              <w:t>хр</w:t>
            </w:r>
            <w:r w:rsidRPr="00401FB3">
              <w:rPr>
                <w:sz w:val="22"/>
                <w:szCs w:val="22"/>
              </w:rPr>
              <w:t xml:space="preserve"> – температура хрупкости при изгибе, T</w:t>
            </w:r>
            <w:r w:rsidRPr="00401FB3">
              <w:rPr>
                <w:sz w:val="22"/>
                <w:szCs w:val="22"/>
                <w:vertAlign w:val="subscript"/>
              </w:rPr>
              <w:t>В</w:t>
            </w:r>
            <w:r w:rsidRPr="00401FB3">
              <w:rPr>
                <w:sz w:val="22"/>
                <w:szCs w:val="22"/>
              </w:rPr>
              <w:t xml:space="preserve"> – теплостойкость по Вика,</w:t>
            </w:r>
            <w:r w:rsidRPr="00401FB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</w:t>
            </w:r>
            <w:r w:rsidRPr="00401FB3">
              <w:rPr>
                <w:sz w:val="22"/>
                <w:szCs w:val="22"/>
              </w:rPr>
              <w:t>В</w:t>
            </w:r>
            <w:r w:rsidRPr="00401FB3">
              <w:rPr>
                <w:sz w:val="22"/>
                <w:szCs w:val="22"/>
                <w:vertAlign w:val="subscript"/>
              </w:rPr>
              <w:t>24</w:t>
            </w:r>
            <w:r w:rsidRPr="00401FB3">
              <w:rPr>
                <w:sz w:val="22"/>
                <w:szCs w:val="22"/>
              </w:rPr>
              <w:t xml:space="preserve"> – влагопоглащение за 24 часа.</w:t>
            </w:r>
          </w:p>
        </w:tc>
      </w:tr>
    </w:tbl>
    <w:p w:rsidR="009D62DC" w:rsidRPr="006D1A86" w:rsidRDefault="009D62DC" w:rsidP="00B52202">
      <w:pPr>
        <w:ind w:firstLine="709"/>
        <w:jc w:val="both"/>
      </w:pPr>
    </w:p>
    <w:p w:rsidR="006D1A86" w:rsidRDefault="00122C2A" w:rsidP="00B52202">
      <w:pPr>
        <w:ind w:firstLine="709"/>
        <w:jc w:val="both"/>
      </w:pPr>
      <w:r>
        <w:t>Выводы:</w:t>
      </w:r>
    </w:p>
    <w:p w:rsidR="00122C2A" w:rsidRDefault="00011E89" w:rsidP="00122C2A">
      <w:pPr>
        <w:numPr>
          <w:ilvl w:val="0"/>
          <w:numId w:val="8"/>
        </w:numPr>
        <w:jc w:val="both"/>
      </w:pPr>
      <w:r>
        <w:t xml:space="preserve">Полиимид </w:t>
      </w:r>
      <w:r w:rsidR="00503A71">
        <w:t>и полиэфирэфиркетон обладают характеристиками, наиболее полно отвечающими поставленным требованиям.</w:t>
      </w:r>
      <w:r>
        <w:t xml:space="preserve"> Ввиду высокой температуры переработки изготовление конченого изделия предпочтительно из полуфабрикатов.</w:t>
      </w:r>
      <w:r w:rsidR="0052178D">
        <w:t xml:space="preserve"> Помимо этого, необходимо уточнение ряда свойств реально располагаемых сортов ПЭЭК ввиду широкого диапазона </w:t>
      </w:r>
      <w:r w:rsidR="0052178D">
        <w:t xml:space="preserve">их </w:t>
      </w:r>
      <w:r w:rsidR="0052178D">
        <w:t>значений для данного класса полимеров.</w:t>
      </w:r>
    </w:p>
    <w:p w:rsidR="00011E89" w:rsidRDefault="00011E89" w:rsidP="00122C2A">
      <w:pPr>
        <w:numPr>
          <w:ilvl w:val="0"/>
          <w:numId w:val="8"/>
        </w:numPr>
        <w:jc w:val="both"/>
      </w:pPr>
      <w:r>
        <w:lastRenderedPageBreak/>
        <w:t xml:space="preserve">Использование </w:t>
      </w:r>
      <w:r>
        <w:t>в качестве матричного материала</w:t>
      </w:r>
      <w:r>
        <w:t xml:space="preserve"> фенилона и </w:t>
      </w:r>
      <w:r w:rsidR="006E4CEF">
        <w:t>полибензоксазола</w:t>
      </w:r>
      <w:r>
        <w:t xml:space="preserve"> рассматривается при условии подтверждения их свойств</w:t>
      </w:r>
      <w:r w:rsidR="006E4CEF">
        <w:t>.</w:t>
      </w:r>
      <w:r>
        <w:t xml:space="preserve"> </w:t>
      </w:r>
      <w:r w:rsidR="006E4CEF">
        <w:t xml:space="preserve">Прочность фенилона при </w:t>
      </w:r>
      <w:r>
        <w:t>криогенной температуре</w:t>
      </w:r>
      <w:r w:rsidR="006E4CEF">
        <w:t xml:space="preserve"> требует подтверждения</w:t>
      </w:r>
      <w:r>
        <w:t xml:space="preserve">, </w:t>
      </w:r>
      <w:r w:rsidR="006E4CEF">
        <w:t xml:space="preserve">полибензоксазол </w:t>
      </w:r>
      <w:r w:rsidR="006E4CEF">
        <w:t>обладает меньшей прочностью, чем материалы, представленные в п</w:t>
      </w:r>
      <w:r w:rsidR="006E4CEF">
        <w:t>п</w:t>
      </w:r>
      <w:r w:rsidR="006E4CEF">
        <w:t>.1</w:t>
      </w:r>
      <w:r w:rsidR="006E4CEF">
        <w:t>,2</w:t>
      </w:r>
      <w:r w:rsidR="006E4CEF">
        <w:t xml:space="preserve">, при этом он столь же сложен в обработке, а часть достоверных данных о его свойствах </w:t>
      </w:r>
      <w:r w:rsidR="006E4CEF">
        <w:t>отсутствует</w:t>
      </w:r>
      <w:r>
        <w:t>.</w:t>
      </w:r>
    </w:p>
    <w:p w:rsidR="006C5EC3" w:rsidRDefault="006C5EC3" w:rsidP="00122C2A">
      <w:pPr>
        <w:numPr>
          <w:ilvl w:val="0"/>
          <w:numId w:val="8"/>
        </w:numPr>
        <w:jc w:val="both"/>
      </w:pPr>
      <w:r>
        <w:t>П</w:t>
      </w:r>
      <w:r w:rsidR="006E4CEF">
        <w:t xml:space="preserve">олиарилат и полисульфон проигрывают перечисленным выше полимерам по прочности и жёсткости, однако значительно </w:t>
      </w:r>
      <w:r w:rsidR="006E4CEF">
        <w:t>более технологичн</w:t>
      </w:r>
      <w:r w:rsidR="006E4CEF">
        <w:t>ы</w:t>
      </w:r>
      <w:r w:rsidR="006E4CEF">
        <w:t xml:space="preserve"> из-за более низкой температуры переработки</w:t>
      </w:r>
      <w:r w:rsidR="005D5789">
        <w:t>.</w:t>
      </w:r>
      <w:r w:rsidR="00E8578D" w:rsidRPr="00E8578D">
        <w:t xml:space="preserve"> </w:t>
      </w:r>
      <w:r w:rsidR="00E8578D">
        <w:t>Возможно также рассмотрение после соответсвующих испытаний полиэфирсульфона, обладающего лучшей прочностью, не подтверждённой на текущий момент при криогенных температурах.</w:t>
      </w:r>
    </w:p>
    <w:p w:rsidR="005D5789" w:rsidRDefault="005D5789" w:rsidP="00122C2A">
      <w:pPr>
        <w:numPr>
          <w:ilvl w:val="0"/>
          <w:numId w:val="8"/>
        </w:numPr>
        <w:jc w:val="both"/>
      </w:pPr>
      <w:r>
        <w:t>Благодаря уникальному набору свойств, фторопласт может быть применён в качестве внутреннего покрытия бака, играя роль герметизирующего (благодаря хладотекучести) и изолирующего (благодаря стойкости и окислителям и малой гигроскопичности) слоя.</w:t>
      </w:r>
    </w:p>
    <w:p w:rsidR="006D1A86" w:rsidRDefault="003D60AF" w:rsidP="00A501BE">
      <w:pPr>
        <w:numPr>
          <w:ilvl w:val="0"/>
          <w:numId w:val="8"/>
        </w:numPr>
        <w:jc w:val="both"/>
      </w:pPr>
      <w:r>
        <w:t>Таким образом, наиболее перспективным выглядит план испытаний материалов на соответствие поставленной задаче в порядке, соответствующем пп.1-3, где меньший номер означает больший приоритет.</w:t>
      </w:r>
    </w:p>
    <w:p w:rsidR="00377FE8" w:rsidRDefault="00377FE8" w:rsidP="00B52202">
      <w:pPr>
        <w:jc w:val="center"/>
      </w:pPr>
    </w:p>
    <w:p w:rsidR="00B52202" w:rsidRPr="006F7208" w:rsidRDefault="00B52202" w:rsidP="006F7208">
      <w:pPr>
        <w:rPr>
          <w:b/>
        </w:rPr>
      </w:pPr>
      <w:r w:rsidRPr="006F7208">
        <w:rPr>
          <w:b/>
        </w:rPr>
        <w:t>Литература</w:t>
      </w:r>
    </w:p>
    <w:p w:rsidR="00D55EF8" w:rsidRDefault="00D05857" w:rsidP="00D55EF8">
      <w:pPr>
        <w:numPr>
          <w:ilvl w:val="0"/>
          <w:numId w:val="9"/>
        </w:numPr>
        <w:tabs>
          <w:tab w:val="left" w:pos="360"/>
        </w:tabs>
        <w:ind w:left="426" w:hanging="349"/>
      </w:pPr>
      <w:r>
        <w:t>Калинчев Э.Л., Саковцева М.Б. Выбор пластмасс для изготовления и эксплуатации изделий: Справ. изд. Л.: Химия, 1987. 416 с.</w:t>
      </w:r>
    </w:p>
    <w:p w:rsidR="00401FB3" w:rsidRDefault="00A501BE" w:rsidP="00D55EF8">
      <w:pPr>
        <w:numPr>
          <w:ilvl w:val="0"/>
          <w:numId w:val="9"/>
        </w:numPr>
        <w:tabs>
          <w:tab w:val="left" w:pos="360"/>
        </w:tabs>
        <w:ind w:left="426" w:hanging="349"/>
      </w:pPr>
      <w:r>
        <w:t>Бюллер К.-У. Тепло- и термостойкие полимеры; Пер. с нем./ под ред. Я.С. Выгодского. – М.: Химия, 1984 – 1056 с., ил.</w:t>
      </w:r>
    </w:p>
    <w:p w:rsidR="0052178D" w:rsidRDefault="00E8578D" w:rsidP="00D55EF8">
      <w:pPr>
        <w:numPr>
          <w:ilvl w:val="0"/>
          <w:numId w:val="9"/>
        </w:numPr>
        <w:tabs>
          <w:tab w:val="left" w:pos="360"/>
        </w:tabs>
        <w:ind w:left="426" w:hanging="349"/>
      </w:pPr>
      <w:r>
        <w:t>Михайлин Ю.А. Термоустойчивые полимеры и полимерные материалы. –СПб.: Профессия, 2006. – 624 с., ил.</w:t>
      </w:r>
      <w:r w:rsidR="009B56D1">
        <w:t xml:space="preserve"> </w:t>
      </w:r>
      <w:r w:rsidR="009B56D1">
        <w:rPr>
          <w:lang w:val="en-US"/>
        </w:rPr>
        <w:t>ISBN 5-93913-104-2.</w:t>
      </w:r>
    </w:p>
    <w:p w:rsidR="005C4318" w:rsidRPr="005C4318" w:rsidRDefault="005C4318" w:rsidP="005C4318">
      <w:pPr>
        <w:numPr>
          <w:ilvl w:val="0"/>
          <w:numId w:val="9"/>
        </w:numPr>
        <w:tabs>
          <w:tab w:val="left" w:pos="360"/>
        </w:tabs>
        <w:ind w:left="426" w:hanging="349"/>
        <w:rPr>
          <w:lang w:val="en-US"/>
        </w:rPr>
      </w:pPr>
      <w:r w:rsidRPr="005C4318">
        <w:t>Polyetheretherketone</w:t>
      </w:r>
      <w:r>
        <w:t xml:space="preserve">. </w:t>
      </w:r>
      <w:r w:rsidRPr="005C4318">
        <w:t>Science</w:t>
      </w:r>
      <w:r>
        <w:rPr>
          <w:lang w:val="en-US"/>
        </w:rPr>
        <w:t>D</w:t>
      </w:r>
      <w:r w:rsidRPr="005C4318">
        <w:t>irect.</w:t>
      </w:r>
      <w:r>
        <w:rPr>
          <w:lang w:val="en-US"/>
        </w:rPr>
        <w:t>com</w:t>
      </w:r>
      <w:r w:rsidRPr="005C4318">
        <w:t xml:space="preserve">. </w:t>
      </w:r>
      <w:r>
        <w:t>[Электронный ресурс</w:t>
      </w:r>
      <w:r w:rsidRPr="005C4318">
        <w:t xml:space="preserve">]. </w:t>
      </w:r>
      <w:r>
        <w:rPr>
          <w:lang w:val="en-US"/>
        </w:rPr>
        <w:t>URL</w:t>
      </w:r>
      <w:r w:rsidRPr="005C4318">
        <w:rPr>
          <w:lang w:val="en-US"/>
        </w:rPr>
        <w:t xml:space="preserve">: </w:t>
      </w:r>
      <w:hyperlink r:id="rId8" w:history="1">
        <w:r w:rsidR="00FB6A93" w:rsidRPr="00374BEC">
          <w:rPr>
            <w:rStyle w:val="a3"/>
            <w:lang w:val="en-US"/>
          </w:rPr>
          <w:t>https://www.sciencedirect.com/topics/materials-science/polyetheretherketone</w:t>
        </w:r>
      </w:hyperlink>
      <w:r w:rsidR="00FB6A93">
        <w:rPr>
          <w:lang w:val="en-US"/>
        </w:rPr>
        <w:t xml:space="preserve">. </w:t>
      </w:r>
      <w:r w:rsidR="00FB6A93">
        <w:t>Дата обращения: 15.03.2025 г.</w:t>
      </w:r>
    </w:p>
    <w:p w:rsidR="005C4318" w:rsidRPr="005C4318" w:rsidRDefault="00BA5C7A" w:rsidP="00D55EF8">
      <w:pPr>
        <w:numPr>
          <w:ilvl w:val="0"/>
          <w:numId w:val="9"/>
        </w:numPr>
        <w:tabs>
          <w:tab w:val="left" w:pos="360"/>
        </w:tabs>
        <w:ind w:left="426" w:hanging="349"/>
        <w:rPr>
          <w:lang w:val="en-US"/>
        </w:rPr>
      </w:pPr>
      <w:r w:rsidRPr="00BA5C7A">
        <w:rPr>
          <w:lang w:val="en-US"/>
        </w:rPr>
        <w:t xml:space="preserve">K. Doyle, A. Doyle, </w:t>
      </w:r>
      <w:r w:rsidRPr="00BA5C7A">
        <w:t>С</w:t>
      </w:r>
      <w:r w:rsidRPr="00BA5C7A">
        <w:rPr>
          <w:lang w:val="en-US"/>
        </w:rPr>
        <w:t xml:space="preserve">.M. O Bradaigh, D. Jaredson </w:t>
      </w:r>
      <w:r>
        <w:rPr>
          <w:lang w:val="en-US"/>
        </w:rPr>
        <w:t>(</w:t>
      </w:r>
      <w:r w:rsidRPr="00BA5C7A">
        <w:rPr>
          <w:lang w:val="en-US"/>
        </w:rPr>
        <w:t>2012</w:t>
      </w:r>
      <w:r>
        <w:rPr>
          <w:lang w:val="en-US"/>
        </w:rPr>
        <w:t>), “</w:t>
      </w:r>
      <w:r w:rsidRPr="00BA5C7A">
        <w:rPr>
          <w:lang w:val="en-US"/>
        </w:rPr>
        <w:t>Feasibility of carbon fibre/peek composites for cryogenic fuel tank applications</w:t>
      </w:r>
      <w:r>
        <w:rPr>
          <w:lang w:val="en-US"/>
        </w:rPr>
        <w:t>”, Proceeding of 12</w:t>
      </w:r>
      <w:r w:rsidRPr="00BA5C7A">
        <w:rPr>
          <w:vertAlign w:val="superscript"/>
          <w:lang w:val="en-US"/>
        </w:rPr>
        <w:t>th</w:t>
      </w:r>
      <w:r>
        <w:rPr>
          <w:lang w:val="en-US"/>
        </w:rPr>
        <w:t xml:space="preserve"> European Conference on Space Structures, materials &amp; Environmental Testing, Noordwijk, 20 </w:t>
      </w:r>
      <w:r>
        <w:rPr>
          <w:lang w:val="en-US"/>
        </w:rPr>
        <w:noBreakHyphen/>
        <w:t> 23 March 2012.</w:t>
      </w:r>
    </w:p>
    <w:p w:rsidR="00C344E8" w:rsidRPr="00BA5C7A" w:rsidRDefault="00C344E8" w:rsidP="00401FB3">
      <w:pPr>
        <w:ind w:firstLine="709"/>
        <w:jc w:val="both"/>
        <w:rPr>
          <w:lang w:val="en-US"/>
        </w:rPr>
      </w:pPr>
    </w:p>
    <w:p w:rsidR="00401FB3" w:rsidRDefault="00401FB3" w:rsidP="00401FB3">
      <w:pPr>
        <w:ind w:firstLine="709"/>
        <w:jc w:val="both"/>
      </w:pPr>
    </w:p>
    <w:p w:rsidR="00401FB3" w:rsidRDefault="00401FB3" w:rsidP="00401FB3">
      <w:pPr>
        <w:ind w:firstLine="709"/>
        <w:jc w:val="both"/>
      </w:pPr>
    </w:p>
    <w:p w:rsidR="00401FB3" w:rsidRPr="00401FB3" w:rsidRDefault="00401FB3" w:rsidP="00401FB3">
      <w:pPr>
        <w:ind w:firstLine="709"/>
        <w:jc w:val="both"/>
      </w:pPr>
    </w:p>
    <w:sectPr w:rsidR="00401FB3" w:rsidRPr="00401FB3" w:rsidSect="0021573B">
      <w:headerReference w:type="default" r:id="rId9"/>
      <w:footerReference w:type="default" r:id="rId10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9F" w:rsidRDefault="0063189F" w:rsidP="00C604A8">
      <w:r>
        <w:separator/>
      </w:r>
    </w:p>
  </w:endnote>
  <w:endnote w:type="continuationSeparator" w:id="0">
    <w:p w:rsidR="0063189F" w:rsidRDefault="0063189F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823DF">
      <w:rPr>
        <w:noProof/>
      </w:rPr>
      <w:t>1</w:t>
    </w:r>
    <w:r>
      <w:fldChar w:fldCharType="end"/>
    </w:r>
  </w:p>
  <w:p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9F" w:rsidRDefault="0063189F" w:rsidP="00C604A8">
      <w:r>
        <w:separator/>
      </w:r>
    </w:p>
  </w:footnote>
  <w:footnote w:type="continuationSeparator" w:id="0">
    <w:p w:rsidR="0063189F" w:rsidRDefault="0063189F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9" w:rsidRPr="00A47429" w:rsidRDefault="0063189F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710F"/>
    <w:multiLevelType w:val="hybridMultilevel"/>
    <w:tmpl w:val="838053B8"/>
    <w:lvl w:ilvl="0" w:tplc="6160033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3797E"/>
    <w:multiLevelType w:val="hybridMultilevel"/>
    <w:tmpl w:val="27C2B77C"/>
    <w:lvl w:ilvl="0" w:tplc="9A787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202"/>
    <w:rsid w:val="00011E89"/>
    <w:rsid w:val="00024AC1"/>
    <w:rsid w:val="00030C5C"/>
    <w:rsid w:val="000344F5"/>
    <w:rsid w:val="00042BC5"/>
    <w:rsid w:val="00066902"/>
    <w:rsid w:val="00090E36"/>
    <w:rsid w:val="00094151"/>
    <w:rsid w:val="0012011C"/>
    <w:rsid w:val="00121639"/>
    <w:rsid w:val="00121A26"/>
    <w:rsid w:val="00122C2A"/>
    <w:rsid w:val="001245C3"/>
    <w:rsid w:val="00156D8F"/>
    <w:rsid w:val="00170E77"/>
    <w:rsid w:val="00173238"/>
    <w:rsid w:val="0020697D"/>
    <w:rsid w:val="0021573B"/>
    <w:rsid w:val="0024259F"/>
    <w:rsid w:val="002559C8"/>
    <w:rsid w:val="00270157"/>
    <w:rsid w:val="0027634E"/>
    <w:rsid w:val="002855BD"/>
    <w:rsid w:val="002A118A"/>
    <w:rsid w:val="002A3234"/>
    <w:rsid w:val="002A7705"/>
    <w:rsid w:val="003001AC"/>
    <w:rsid w:val="00311E81"/>
    <w:rsid w:val="00314115"/>
    <w:rsid w:val="003468C1"/>
    <w:rsid w:val="00346E26"/>
    <w:rsid w:val="00352886"/>
    <w:rsid w:val="00377FE8"/>
    <w:rsid w:val="003822C2"/>
    <w:rsid w:val="003A4AF1"/>
    <w:rsid w:val="003C0358"/>
    <w:rsid w:val="003D60AF"/>
    <w:rsid w:val="003D6B99"/>
    <w:rsid w:val="004018E5"/>
    <w:rsid w:val="00401FB3"/>
    <w:rsid w:val="0040474D"/>
    <w:rsid w:val="004341DC"/>
    <w:rsid w:val="004614A1"/>
    <w:rsid w:val="004725B5"/>
    <w:rsid w:val="004A4CC9"/>
    <w:rsid w:val="004B3A33"/>
    <w:rsid w:val="004B4BA5"/>
    <w:rsid w:val="004B7B20"/>
    <w:rsid w:val="004C113E"/>
    <w:rsid w:val="004E377E"/>
    <w:rsid w:val="004F6F74"/>
    <w:rsid w:val="00500714"/>
    <w:rsid w:val="00503A71"/>
    <w:rsid w:val="00515A7C"/>
    <w:rsid w:val="00517F30"/>
    <w:rsid w:val="0052178D"/>
    <w:rsid w:val="00553A08"/>
    <w:rsid w:val="0059011E"/>
    <w:rsid w:val="005A42C4"/>
    <w:rsid w:val="005B0B36"/>
    <w:rsid w:val="005B213C"/>
    <w:rsid w:val="005C4318"/>
    <w:rsid w:val="005C66EA"/>
    <w:rsid w:val="005D00E3"/>
    <w:rsid w:val="005D5789"/>
    <w:rsid w:val="0063189F"/>
    <w:rsid w:val="00644FC8"/>
    <w:rsid w:val="00664048"/>
    <w:rsid w:val="006C5EC3"/>
    <w:rsid w:val="006D1A86"/>
    <w:rsid w:val="006D2363"/>
    <w:rsid w:val="006E1C51"/>
    <w:rsid w:val="006E4CEF"/>
    <w:rsid w:val="006F7208"/>
    <w:rsid w:val="00703524"/>
    <w:rsid w:val="0075156B"/>
    <w:rsid w:val="007527BF"/>
    <w:rsid w:val="00760F67"/>
    <w:rsid w:val="00767396"/>
    <w:rsid w:val="007823DF"/>
    <w:rsid w:val="007B4C51"/>
    <w:rsid w:val="007C2ACC"/>
    <w:rsid w:val="007C2BBC"/>
    <w:rsid w:val="007E2BEF"/>
    <w:rsid w:val="00806270"/>
    <w:rsid w:val="008338A7"/>
    <w:rsid w:val="00834BF1"/>
    <w:rsid w:val="0084309A"/>
    <w:rsid w:val="008675AF"/>
    <w:rsid w:val="00875390"/>
    <w:rsid w:val="008D31A2"/>
    <w:rsid w:val="008F5257"/>
    <w:rsid w:val="009127CF"/>
    <w:rsid w:val="00931F8E"/>
    <w:rsid w:val="00945DBB"/>
    <w:rsid w:val="0095761C"/>
    <w:rsid w:val="00963C84"/>
    <w:rsid w:val="00997E00"/>
    <w:rsid w:val="009B56D1"/>
    <w:rsid w:val="009D0774"/>
    <w:rsid w:val="009D62DC"/>
    <w:rsid w:val="009F358E"/>
    <w:rsid w:val="00A03765"/>
    <w:rsid w:val="00A200E7"/>
    <w:rsid w:val="00A4348A"/>
    <w:rsid w:val="00A47429"/>
    <w:rsid w:val="00A501BE"/>
    <w:rsid w:val="00A73273"/>
    <w:rsid w:val="00B36B16"/>
    <w:rsid w:val="00B37644"/>
    <w:rsid w:val="00B52202"/>
    <w:rsid w:val="00B6549D"/>
    <w:rsid w:val="00B81F39"/>
    <w:rsid w:val="00B826B0"/>
    <w:rsid w:val="00B9089A"/>
    <w:rsid w:val="00BA4B69"/>
    <w:rsid w:val="00BA5C7A"/>
    <w:rsid w:val="00BD6B34"/>
    <w:rsid w:val="00C151B3"/>
    <w:rsid w:val="00C344E8"/>
    <w:rsid w:val="00C35EE8"/>
    <w:rsid w:val="00C40897"/>
    <w:rsid w:val="00C50728"/>
    <w:rsid w:val="00C604A8"/>
    <w:rsid w:val="00C9114E"/>
    <w:rsid w:val="00CA5C28"/>
    <w:rsid w:val="00D05857"/>
    <w:rsid w:val="00D24F52"/>
    <w:rsid w:val="00D354B9"/>
    <w:rsid w:val="00D4189E"/>
    <w:rsid w:val="00D42F56"/>
    <w:rsid w:val="00D55EF8"/>
    <w:rsid w:val="00D608ED"/>
    <w:rsid w:val="00D61933"/>
    <w:rsid w:val="00DF7C03"/>
    <w:rsid w:val="00E0544E"/>
    <w:rsid w:val="00E05463"/>
    <w:rsid w:val="00E54B49"/>
    <w:rsid w:val="00E8578D"/>
    <w:rsid w:val="00EA77C9"/>
    <w:rsid w:val="00EB18E8"/>
    <w:rsid w:val="00ED16BF"/>
    <w:rsid w:val="00EE46FB"/>
    <w:rsid w:val="00EF60FD"/>
    <w:rsid w:val="00F15439"/>
    <w:rsid w:val="00F20EF9"/>
    <w:rsid w:val="00F30732"/>
    <w:rsid w:val="00F32AA9"/>
    <w:rsid w:val="00F33150"/>
    <w:rsid w:val="00F42ED2"/>
    <w:rsid w:val="00F474DD"/>
    <w:rsid w:val="00F619E2"/>
    <w:rsid w:val="00F9634A"/>
    <w:rsid w:val="00FA07D4"/>
    <w:rsid w:val="00FA2E51"/>
    <w:rsid w:val="00FB6A93"/>
    <w:rsid w:val="00FD4510"/>
    <w:rsid w:val="00FF5967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9F66E8"/>
  <w15:chartTrackingRefBased/>
  <w15:docId w15:val="{39A641AB-43A7-44D3-BD35-24B4AD14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materials-science/polyetheretherket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0DDC-4B07-4DE6-8E03-48F04532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4846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Илья</cp:lastModifiedBy>
  <cp:revision>5</cp:revision>
  <cp:lastPrinted>2007-02-12T16:01:00Z</cp:lastPrinted>
  <dcterms:created xsi:type="dcterms:W3CDTF">2025-03-23T07:13:00Z</dcterms:created>
  <dcterms:modified xsi:type="dcterms:W3CDTF">2025-03-23T07:14:00Z</dcterms:modified>
</cp:coreProperties>
</file>